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1819" w14:textId="77777777" w:rsidR="00C433C7" w:rsidRDefault="00C433C7"/>
    <w:p w14:paraId="3A82181A" w14:textId="77777777" w:rsidR="0023609E" w:rsidRDefault="0023609E"/>
    <w:p w14:paraId="3A82181B" w14:textId="77777777" w:rsidR="0023609E" w:rsidRDefault="0023609E"/>
    <w:p w14:paraId="3A82181C" w14:textId="77777777" w:rsidR="0023609E" w:rsidRDefault="0023609E"/>
    <w:p w14:paraId="3A82181D" w14:textId="77777777" w:rsidR="0023609E" w:rsidRDefault="0023609E"/>
    <w:p w14:paraId="3A82181E" w14:textId="77777777" w:rsidR="0023609E" w:rsidRDefault="0023609E"/>
    <w:p w14:paraId="3A82181F" w14:textId="77777777" w:rsidR="0023609E" w:rsidRDefault="0023609E"/>
    <w:p w14:paraId="3A821820" w14:textId="77777777" w:rsidR="0023609E" w:rsidRDefault="0023609E" w:rsidP="0023609E">
      <w:pPr>
        <w:jc w:val="center"/>
      </w:pPr>
      <w:r>
        <w:t xml:space="preserve">Not </w:t>
      </w:r>
      <w:r w:rsidR="0027500B">
        <w:t>Another</w:t>
      </w:r>
      <w:r>
        <w:t xml:space="preserve"> Boring Library Orientation</w:t>
      </w:r>
    </w:p>
    <w:p w14:paraId="3A821821" w14:textId="77777777" w:rsidR="0023609E" w:rsidRDefault="0023609E" w:rsidP="0023609E">
      <w:pPr>
        <w:jc w:val="center"/>
      </w:pPr>
      <w:r>
        <w:t>Melissa Johnson</w:t>
      </w:r>
    </w:p>
    <w:p w14:paraId="3A821822" w14:textId="77777777" w:rsidR="0053050A" w:rsidRDefault="0023609E" w:rsidP="0023609E">
      <w:pPr>
        <w:jc w:val="center"/>
      </w:pPr>
      <w:r>
        <w:t>University of North Texas</w:t>
      </w:r>
    </w:p>
    <w:p w14:paraId="3A821823" w14:textId="77777777" w:rsidR="0053050A" w:rsidRDefault="0053050A">
      <w:r>
        <w:br w:type="page"/>
      </w:r>
    </w:p>
    <w:p w14:paraId="3A821824" w14:textId="77777777" w:rsidR="0023609E" w:rsidRDefault="00E04DAA" w:rsidP="0023609E">
      <w:pPr>
        <w:jc w:val="center"/>
      </w:pPr>
      <w:r>
        <w:lastRenderedPageBreak/>
        <w:t>Abstract</w:t>
      </w:r>
    </w:p>
    <w:p w14:paraId="3A821825" w14:textId="428D336F" w:rsidR="00242795" w:rsidRDefault="002025FE" w:rsidP="00E04DAA">
      <w:r>
        <w:t>This study explores the effectiveness</w:t>
      </w:r>
      <w:r w:rsidR="00BC7B87">
        <w:t xml:space="preserve"> of </w:t>
      </w:r>
      <w:r w:rsidR="00994C36">
        <w:t>game-based learning (GBL)</w:t>
      </w:r>
      <w:r w:rsidR="00BC7B87">
        <w:t xml:space="preserve"> as an instructional method for </w:t>
      </w:r>
      <w:r w:rsidR="00952073">
        <w:t>one-time</w:t>
      </w:r>
      <w:r w:rsidR="00BC7B87">
        <w:t xml:space="preserve"> library orientations. </w:t>
      </w:r>
      <w:r>
        <w:t xml:space="preserve">Two groups of students attend a one-time library orientation. One group is taught using </w:t>
      </w:r>
      <w:r w:rsidR="00994C36">
        <w:t>traditional instruction (TI</w:t>
      </w:r>
      <w:r w:rsidR="00466AB0">
        <w:t>)</w:t>
      </w:r>
      <w:r>
        <w:t xml:space="preserve"> methods. The other is taught using a </w:t>
      </w:r>
      <w:r w:rsidR="00994C36">
        <w:t>GBL</w:t>
      </w:r>
      <w:r>
        <w:t xml:space="preserve"> approach. </w:t>
      </w:r>
      <w:r w:rsidR="006452AE">
        <w:t xml:space="preserve">A posttest </w:t>
      </w:r>
      <w:r w:rsidR="006C531A">
        <w:t>i</w:t>
      </w:r>
      <w:r w:rsidR="006452AE">
        <w:t xml:space="preserve">s used to measure student knowledge of </w:t>
      </w:r>
      <w:r w:rsidR="00E17915">
        <w:t xml:space="preserve">using </w:t>
      </w:r>
      <w:r w:rsidR="006452AE">
        <w:t>library resources</w:t>
      </w:r>
      <w:r w:rsidR="000A01E1">
        <w:t>. R</w:t>
      </w:r>
      <w:r w:rsidR="006452AE">
        <w:t xml:space="preserve">esults </w:t>
      </w:r>
      <w:r w:rsidR="00EE3668">
        <w:t xml:space="preserve">will </w:t>
      </w:r>
      <w:r w:rsidR="006452AE">
        <w:t xml:space="preserve">show no significant </w:t>
      </w:r>
      <w:r w:rsidR="00E17915">
        <w:t xml:space="preserve">differences </w:t>
      </w:r>
      <w:r w:rsidR="00573912">
        <w:t xml:space="preserve">between the </w:t>
      </w:r>
      <w:r w:rsidR="00994C36">
        <w:t>GBL</w:t>
      </w:r>
      <w:r w:rsidR="00573912">
        <w:t xml:space="preserve"> approach and </w:t>
      </w:r>
      <w:r w:rsidR="00994C36">
        <w:t>TI</w:t>
      </w:r>
      <w:r w:rsidR="00301E76">
        <w:t>; however, r</w:t>
      </w:r>
      <w:r w:rsidR="00573912">
        <w:t xml:space="preserve">esults </w:t>
      </w:r>
      <w:r w:rsidR="00EE3668">
        <w:t>will</w:t>
      </w:r>
      <w:r w:rsidR="00573912">
        <w:t xml:space="preserve"> demonstrate that students </w:t>
      </w:r>
      <w:r w:rsidR="00240534">
        <w:t xml:space="preserve">are more engaged and more satisfied with the library </w:t>
      </w:r>
      <w:r w:rsidR="00693EA1">
        <w:t>using</w:t>
      </w:r>
      <w:r w:rsidR="00573912">
        <w:t xml:space="preserve"> the </w:t>
      </w:r>
      <w:r w:rsidR="00994C36">
        <w:t>GBL</w:t>
      </w:r>
      <w:r w:rsidR="00E17915">
        <w:t xml:space="preserve"> approach</w:t>
      </w:r>
      <w:r w:rsidR="00496593">
        <w:t>.</w:t>
      </w:r>
    </w:p>
    <w:p w14:paraId="3A821826" w14:textId="77777777" w:rsidR="00BF6B8F" w:rsidRDefault="0014656E" w:rsidP="0014656E">
      <w:pPr>
        <w:jc w:val="center"/>
      </w:pPr>
      <w:r w:rsidRPr="0014656E">
        <w:rPr>
          <w:i/>
        </w:rPr>
        <w:t>Keywords</w:t>
      </w:r>
      <w:r>
        <w:t xml:space="preserve">: </w:t>
      </w:r>
      <w:r w:rsidR="00466AB0">
        <w:t>game-based learning</w:t>
      </w:r>
      <w:r>
        <w:t xml:space="preserve">, </w:t>
      </w:r>
      <w:r w:rsidR="00466AB0">
        <w:t>traditional instruction</w:t>
      </w:r>
      <w:r>
        <w:t>, library orientation</w:t>
      </w:r>
    </w:p>
    <w:p w14:paraId="3A821827" w14:textId="77777777" w:rsidR="00BF6B8F" w:rsidRDefault="00BF6B8F">
      <w:r>
        <w:br w:type="page"/>
      </w:r>
    </w:p>
    <w:p w14:paraId="3A821828" w14:textId="34AFC325" w:rsidR="00242795" w:rsidRDefault="00BF6B8F" w:rsidP="0014656E">
      <w:pPr>
        <w:jc w:val="center"/>
      </w:pPr>
      <w:r>
        <w:lastRenderedPageBreak/>
        <w:t>Not Another Boring Library Orientation</w:t>
      </w:r>
    </w:p>
    <w:p w14:paraId="55DE3024" w14:textId="1238EF40" w:rsidR="00E60840" w:rsidRPr="00E60840" w:rsidRDefault="00E60840" w:rsidP="0014656E">
      <w:pPr>
        <w:jc w:val="center"/>
        <w:rPr>
          <w:b/>
        </w:rPr>
      </w:pPr>
      <w:r w:rsidRPr="00E60840">
        <w:rPr>
          <w:b/>
        </w:rPr>
        <w:t>Introduction</w:t>
      </w:r>
    </w:p>
    <w:p w14:paraId="3A821829" w14:textId="77777777" w:rsidR="00EA055B" w:rsidRDefault="00EA055B" w:rsidP="0014656E">
      <w:pPr>
        <w:jc w:val="center"/>
      </w:pPr>
      <w:r w:rsidRPr="00F85982">
        <w:t xml:space="preserve">“Motivation is the most important factor that drives learning. When motivation dies, </w:t>
      </w:r>
      <w:r w:rsidR="00CA50BE">
        <w:t>learning</w:t>
      </w:r>
      <w:r w:rsidR="00EB5365">
        <w:t xml:space="preserve"> </w:t>
      </w:r>
      <w:r w:rsidR="007A2ABD">
        <w:t>dies . . .</w:t>
      </w:r>
      <w:r w:rsidRPr="00F85982">
        <w:t xml:space="preserve">” (Gee, 2003, p. 3). </w:t>
      </w:r>
    </w:p>
    <w:p w14:paraId="3A82182A" w14:textId="77777777" w:rsidR="00683164" w:rsidRDefault="00683164" w:rsidP="00683164">
      <w:r>
        <w:tab/>
      </w:r>
      <w:r w:rsidR="00B15CC0">
        <w:t xml:space="preserve">Moans, sighs, and eye rolls are </w:t>
      </w:r>
      <w:r w:rsidR="00B31ACC">
        <w:t xml:space="preserve">perhaps familiar </w:t>
      </w:r>
      <w:r w:rsidR="00B15CC0">
        <w:t>body language</w:t>
      </w:r>
      <w:r w:rsidR="00B31ACC">
        <w:t xml:space="preserve"> signs</w:t>
      </w:r>
      <w:r w:rsidR="00B15CC0">
        <w:t xml:space="preserve"> to librarian</w:t>
      </w:r>
      <w:r w:rsidR="00B31ACC">
        <w:t xml:space="preserve">s in </w:t>
      </w:r>
      <w:r w:rsidR="00B15CC0">
        <w:t>higher education</w:t>
      </w:r>
      <w:r w:rsidR="00B31ACC">
        <w:t xml:space="preserve"> when it comes to mandatory library orientations</w:t>
      </w:r>
      <w:r w:rsidR="00B15CC0">
        <w:t xml:space="preserve">. </w:t>
      </w:r>
      <w:r w:rsidR="004F29A0">
        <w:t>Many students find the</w:t>
      </w:r>
      <w:r w:rsidR="00310BE3">
        <w:t>se</w:t>
      </w:r>
      <w:r w:rsidR="00952073">
        <w:t xml:space="preserve"> one-time</w:t>
      </w:r>
      <w:r w:rsidR="00A065B3">
        <w:t xml:space="preserve"> orientations </w:t>
      </w:r>
      <w:r w:rsidR="003B23C2">
        <w:t xml:space="preserve">tedious, </w:t>
      </w:r>
      <w:r w:rsidR="004F29A0">
        <w:t>boring</w:t>
      </w:r>
      <w:r w:rsidR="003B23C2">
        <w:t xml:space="preserve"> and unnecessary. </w:t>
      </w:r>
      <w:r w:rsidR="00B736F4">
        <w:t xml:space="preserve">Librarians may find students unengaged and unmotivated to participate and learn. </w:t>
      </w:r>
      <w:r w:rsidR="00310BE3">
        <w:t>This does not have to b</w:t>
      </w:r>
      <w:r w:rsidR="005C6123">
        <w:t>e the case</w:t>
      </w:r>
      <w:r w:rsidR="00310BE3">
        <w:t xml:space="preserve">. </w:t>
      </w:r>
      <w:r w:rsidR="005C6123">
        <w:t xml:space="preserve">By using </w:t>
      </w:r>
      <w:r w:rsidR="000217CB">
        <w:t>an alternative</w:t>
      </w:r>
      <w:r w:rsidR="00EE3668">
        <w:t xml:space="preserve"> method</w:t>
      </w:r>
      <w:r w:rsidR="003A691A">
        <w:t xml:space="preserve">, </w:t>
      </w:r>
      <w:r w:rsidR="00277138">
        <w:t>game-based learning (GBL)</w:t>
      </w:r>
      <w:r w:rsidR="003A691A">
        <w:t>,</w:t>
      </w:r>
      <w:r w:rsidR="005C6123">
        <w:t xml:space="preserve"> to teach library </w:t>
      </w:r>
      <w:r w:rsidR="00A065B3">
        <w:t>orientation</w:t>
      </w:r>
      <w:r w:rsidR="00E73454">
        <w:t>s</w:t>
      </w:r>
      <w:r w:rsidR="00CA50BE">
        <w:t xml:space="preserve">, students can </w:t>
      </w:r>
      <w:r w:rsidR="000217CB">
        <w:t>be motivated to le</w:t>
      </w:r>
      <w:r w:rsidR="00E73454">
        <w:t xml:space="preserve">arn, </w:t>
      </w:r>
      <w:r w:rsidR="000217CB">
        <w:t>have fun while doing it</w:t>
      </w:r>
      <w:r w:rsidR="00E73454">
        <w:t>, and receive a positive impression of the library</w:t>
      </w:r>
      <w:r w:rsidR="000217CB">
        <w:t xml:space="preserve">. This study </w:t>
      </w:r>
      <w:r w:rsidR="00DE4E79">
        <w:t>compares</w:t>
      </w:r>
      <w:r w:rsidR="00641A0B">
        <w:t xml:space="preserve"> </w:t>
      </w:r>
      <w:r w:rsidR="00994C36">
        <w:t>GBL</w:t>
      </w:r>
      <w:r w:rsidR="00641A0B">
        <w:t xml:space="preserve"> to </w:t>
      </w:r>
      <w:r w:rsidR="00277138">
        <w:t>traditional instruction (TI)</w:t>
      </w:r>
      <w:r w:rsidR="00641A0B">
        <w:t xml:space="preserve"> in a </w:t>
      </w:r>
      <w:r w:rsidR="00952073">
        <w:t>one-time</w:t>
      </w:r>
      <w:r w:rsidR="00460BB3">
        <w:t xml:space="preserve"> library orientation</w:t>
      </w:r>
      <w:r w:rsidR="00641A0B">
        <w:t xml:space="preserve"> </w:t>
      </w:r>
      <w:r w:rsidR="009419AD">
        <w:t xml:space="preserve">to provide evidence </w:t>
      </w:r>
      <w:r w:rsidR="005E0DF0">
        <w:t xml:space="preserve">that </w:t>
      </w:r>
      <w:r w:rsidR="00994C36">
        <w:t>GBL</w:t>
      </w:r>
      <w:r w:rsidR="005E0DF0">
        <w:t xml:space="preserve"> is as effective as </w:t>
      </w:r>
      <w:r w:rsidR="00994C36">
        <w:t>TI</w:t>
      </w:r>
      <w:r w:rsidR="0050654C">
        <w:t xml:space="preserve"> for learning</w:t>
      </w:r>
      <w:r w:rsidR="00A41840">
        <w:t xml:space="preserve">. In addition, </w:t>
      </w:r>
      <w:r w:rsidR="0050654C">
        <w:t xml:space="preserve">the study </w:t>
      </w:r>
      <w:r w:rsidR="00A81AF5">
        <w:t>will show</w:t>
      </w:r>
      <w:r w:rsidR="0050654C">
        <w:t xml:space="preserve"> that </w:t>
      </w:r>
      <w:r w:rsidR="00A41840">
        <w:t xml:space="preserve">students who participate in </w:t>
      </w:r>
      <w:r w:rsidR="00994C36">
        <w:t>GBL</w:t>
      </w:r>
      <w:r w:rsidR="00A41840">
        <w:t xml:space="preserve"> </w:t>
      </w:r>
      <w:r w:rsidR="00DE4E79">
        <w:t>are</w:t>
      </w:r>
      <w:r w:rsidR="00A41840">
        <w:t xml:space="preserve"> more engaged and more satisfied with their library experience.</w:t>
      </w:r>
      <w:r w:rsidR="00A32870">
        <w:t xml:space="preserve"> </w:t>
      </w:r>
    </w:p>
    <w:p w14:paraId="3A82182B" w14:textId="77777777" w:rsidR="001523DB" w:rsidRDefault="00683164" w:rsidP="00B142EB">
      <w:pPr>
        <w:jc w:val="center"/>
        <w:rPr>
          <w:b/>
        </w:rPr>
      </w:pPr>
      <w:r w:rsidRPr="00683164">
        <w:rPr>
          <w:b/>
        </w:rPr>
        <w:t>Literature Review</w:t>
      </w:r>
    </w:p>
    <w:p w14:paraId="3A82182C" w14:textId="77777777" w:rsidR="001F4E4E" w:rsidRDefault="00AF12F1" w:rsidP="001F4E4E">
      <w:pPr>
        <w:ind w:firstLine="720"/>
      </w:pPr>
      <w:r w:rsidRPr="00AF12F1">
        <w:t>The American Library Ass</w:t>
      </w:r>
      <w:r w:rsidR="000E0F1B">
        <w:t xml:space="preserve">ociation </w:t>
      </w:r>
      <w:r w:rsidR="006D21DC">
        <w:t xml:space="preserve">(2015) </w:t>
      </w:r>
      <w:r w:rsidR="000E0F1B">
        <w:t xml:space="preserve">defines </w:t>
      </w:r>
      <w:r w:rsidR="001F05AC">
        <w:t xml:space="preserve">information literacy as the ability to </w:t>
      </w:r>
      <w:r w:rsidR="000E0F1B">
        <w:t>“</w:t>
      </w:r>
      <w:r w:rsidR="00557052" w:rsidRPr="00557052">
        <w:t>recognize when information is needed and have the ability to locate, evaluate, and use effectively the needed information</w:t>
      </w:r>
      <w:r w:rsidR="006D21DC">
        <w:t>”</w:t>
      </w:r>
      <w:r w:rsidR="00C61DEE">
        <w:t xml:space="preserve"> </w:t>
      </w:r>
      <w:r w:rsidR="00A200BD">
        <w:t xml:space="preserve">(para. 5). </w:t>
      </w:r>
      <w:r w:rsidR="00C61DEE">
        <w:t>Two</w:t>
      </w:r>
      <w:r w:rsidR="007D25F3">
        <w:t xml:space="preserve"> of the main goals o</w:t>
      </w:r>
      <w:r w:rsidR="00457ED6">
        <w:t>f library orientations</w:t>
      </w:r>
      <w:r w:rsidR="009E0364">
        <w:t>, a form of library instruction,</w:t>
      </w:r>
      <w:r w:rsidR="00457ED6">
        <w:t xml:space="preserve"> is </w:t>
      </w:r>
      <w:r w:rsidR="009E0364">
        <w:t>to</w:t>
      </w:r>
      <w:r w:rsidR="00C61DEE">
        <w:t xml:space="preserve"> introduce students to library resources (Lange, 2015</w:t>
      </w:r>
      <w:r w:rsidR="003149DF">
        <w:t>) and to</w:t>
      </w:r>
      <w:r w:rsidR="009E0364">
        <w:t xml:space="preserve"> </w:t>
      </w:r>
      <w:r w:rsidR="00995424">
        <w:t>enable students t</w:t>
      </w:r>
      <w:r w:rsidR="009E0364">
        <w:t>o become lifelong</w:t>
      </w:r>
      <w:r w:rsidR="00995424">
        <w:t>, independent</w:t>
      </w:r>
      <w:r w:rsidR="009E0364">
        <w:t xml:space="preserve"> learners</w:t>
      </w:r>
      <w:r w:rsidR="00995424">
        <w:t xml:space="preserve"> </w:t>
      </w:r>
      <w:r w:rsidR="00A77699">
        <w:t xml:space="preserve">(de Kock, 2013) </w:t>
      </w:r>
      <w:r w:rsidR="00E00486">
        <w:t>which</w:t>
      </w:r>
      <w:r w:rsidR="009F5502">
        <w:t xml:space="preserve"> both</w:t>
      </w:r>
      <w:r w:rsidR="00E00486">
        <w:t xml:space="preserve"> go hand-in-hand with</w:t>
      </w:r>
      <w:r w:rsidR="00627294">
        <w:t xml:space="preserve"> the concept of</w:t>
      </w:r>
      <w:r w:rsidR="00E00486">
        <w:t xml:space="preserve"> information literacy. </w:t>
      </w:r>
      <w:r w:rsidR="00080B7A">
        <w:t>Library instruction teaches students how to locate, find, and critically evaluate resources, regardless of format (de Kock, 2013; Leach &amp; Sugarman,</w:t>
      </w:r>
      <w:r w:rsidR="00B142EB">
        <w:t xml:space="preserve"> 2006); however, t</w:t>
      </w:r>
      <w:r w:rsidR="00703AE1">
        <w:t>he method that librarians usually employ to share this information, e.g., lecture</w:t>
      </w:r>
      <w:r w:rsidR="007A029E">
        <w:t xml:space="preserve"> and PowerPoint</w:t>
      </w:r>
      <w:r w:rsidR="00703AE1">
        <w:t>, can be very boring for students (</w:t>
      </w:r>
      <w:r w:rsidR="004B1B13">
        <w:t xml:space="preserve">de Kock, 2013; </w:t>
      </w:r>
      <w:r w:rsidR="00703AE1">
        <w:t xml:space="preserve">Lange, 2015; </w:t>
      </w:r>
      <w:r w:rsidR="00703AE1">
        <w:lastRenderedPageBreak/>
        <w:t xml:space="preserve">Leach &amp; Sugarman, 2006; Smith, 2007). </w:t>
      </w:r>
      <w:r w:rsidR="00A405D3">
        <w:t xml:space="preserve">Furthermore, </w:t>
      </w:r>
      <w:r w:rsidR="0025053A">
        <w:t xml:space="preserve">“a mere five percent of lecture material </w:t>
      </w:r>
      <w:r w:rsidR="0087025D">
        <w:t xml:space="preserve">is retained . . . </w:t>
      </w:r>
      <w:r w:rsidR="006F3B6F">
        <w:t>(</w:t>
      </w:r>
      <w:r w:rsidR="005843CA">
        <w:t xml:space="preserve">Smith, 2007, </w:t>
      </w:r>
      <w:r w:rsidR="006F3B6F">
        <w:t xml:space="preserve">para. 10). </w:t>
      </w:r>
    </w:p>
    <w:p w14:paraId="3A82182D" w14:textId="1F16E65F" w:rsidR="00062D2D" w:rsidRDefault="00985EDB" w:rsidP="00B142EB">
      <w:pPr>
        <w:ind w:firstLine="720"/>
      </w:pPr>
      <w:r>
        <w:t>Games</w:t>
      </w:r>
      <w:r>
        <w:t>, on the other hand,</w:t>
      </w:r>
      <w:bookmarkStart w:id="0" w:name="_GoBack"/>
      <w:bookmarkEnd w:id="0"/>
      <w:r>
        <w:t xml:space="preserve"> are part of students’ everyday lives (Oblinger, 2004). </w:t>
      </w:r>
      <w:r w:rsidR="00062D2D">
        <w:t>According to the Entertainment Software Association, 68% of gamers are over 18 years old (</w:t>
      </w:r>
      <w:r w:rsidR="003D638A">
        <w:t xml:space="preserve">New Media Consortium, 2014). </w:t>
      </w:r>
      <w:r w:rsidR="00200299">
        <w:t xml:space="preserve">A game as defined by </w:t>
      </w:r>
      <w:r w:rsidR="003D638A">
        <w:t>Mayer and Johnson (</w:t>
      </w:r>
      <w:r w:rsidR="00200299">
        <w:t xml:space="preserve">2010) </w:t>
      </w:r>
      <w:r w:rsidR="003D638A">
        <w:t>“</w:t>
      </w:r>
      <w:r w:rsidR="00E1073C">
        <w:t xml:space="preserve">. . . </w:t>
      </w:r>
      <w:r w:rsidR="003D638A">
        <w:t xml:space="preserve">is a rule-based environment that is responsive to the player’s actions, offers appropriate challenges to the player, and keeps a cumulative record of the player’s actions” (p. 244). </w:t>
      </w:r>
      <w:r w:rsidR="00E1073C">
        <w:t>An educational game</w:t>
      </w:r>
      <w:r w:rsidR="000A1E90">
        <w:t xml:space="preserve"> </w:t>
      </w:r>
      <w:r w:rsidR="008A75DD">
        <w:t xml:space="preserve">has the intent of causing a “. . . desirable change in the player’s knowledge” (Mayer &amp; Johnson, 2010, p. 245). </w:t>
      </w:r>
    </w:p>
    <w:p w14:paraId="3A82182E" w14:textId="77777777" w:rsidR="004C595F" w:rsidRDefault="004C595F" w:rsidP="00B142EB">
      <w:pPr>
        <w:ind w:firstLine="720"/>
      </w:pPr>
      <w:r>
        <w:t>Research has shown that games</w:t>
      </w:r>
      <w:r w:rsidR="006B1FEA">
        <w:t xml:space="preserve"> provide active learning opportunit</w:t>
      </w:r>
      <w:r w:rsidR="00121627">
        <w:t>i</w:t>
      </w:r>
      <w:r w:rsidR="00430D47">
        <w:t>es</w:t>
      </w:r>
      <w:r w:rsidR="00E14301">
        <w:t xml:space="preserve"> and engage students</w:t>
      </w:r>
      <w:r w:rsidR="005B5D96">
        <w:t xml:space="preserve">. They </w:t>
      </w:r>
      <w:r w:rsidR="00394181">
        <w:t xml:space="preserve">promote </w:t>
      </w:r>
      <w:r w:rsidR="00F03D3B">
        <w:t>collaboration,</w:t>
      </w:r>
      <w:r w:rsidR="00394181">
        <w:t xml:space="preserve"> as they are</w:t>
      </w:r>
      <w:r w:rsidR="005B5D96">
        <w:t xml:space="preserve"> social in nature</w:t>
      </w:r>
      <w:r w:rsidR="007F563B">
        <w:t xml:space="preserve"> (Gee, 2003; </w:t>
      </w:r>
      <w:r w:rsidR="00B12C3C">
        <w:t xml:space="preserve">Oblinger, 2004; </w:t>
      </w:r>
      <w:r w:rsidR="007F563B">
        <w:t>Prensky, 2003;</w:t>
      </w:r>
      <w:r w:rsidR="008764BC">
        <w:t xml:space="preserve"> Shaffer, Squire, Halverson, &amp; Gee, 2005</w:t>
      </w:r>
      <w:r w:rsidR="007F563B">
        <w:t>)</w:t>
      </w:r>
      <w:r w:rsidR="00394181">
        <w:t xml:space="preserve">. </w:t>
      </w:r>
      <w:r w:rsidR="00F03D3B">
        <w:t>Games provide opportunities for immediate</w:t>
      </w:r>
      <w:r w:rsidR="00430D47">
        <w:t xml:space="preserve"> </w:t>
      </w:r>
      <w:r w:rsidR="00F03D3B">
        <w:t xml:space="preserve">feedback </w:t>
      </w:r>
      <w:r w:rsidR="007801B8">
        <w:t>and allow students to tr</w:t>
      </w:r>
      <w:r w:rsidR="00BE76A8">
        <w:t>ansfer and relate their learning to outside</w:t>
      </w:r>
      <w:r w:rsidR="007801B8">
        <w:t xml:space="preserve"> contexts </w:t>
      </w:r>
      <w:r w:rsidR="00430D47">
        <w:t>(de Kock, 2013; Gee, 2003; Leach &amp; Sugarman, 2006; Mayer &amp; Johnson, 2010; New Media Consortium, 2014; Oblinger, 2004; Prensky, 2003; Shaffer et al., 2005; Smith, 2007).</w:t>
      </w:r>
      <w:r w:rsidR="006B1FEA">
        <w:t xml:space="preserve"> They allow students to be producers and not simply consumers</w:t>
      </w:r>
      <w:r w:rsidR="00430D47">
        <w:t xml:space="preserve"> of their own learning</w:t>
      </w:r>
      <w:r w:rsidR="006B1FEA">
        <w:t xml:space="preserve"> </w:t>
      </w:r>
      <w:r w:rsidR="002D15CC">
        <w:t xml:space="preserve">and they promote deeper learning </w:t>
      </w:r>
      <w:r w:rsidR="006B1FEA">
        <w:t>(Gee, 2003</w:t>
      </w:r>
      <w:r w:rsidR="00530A20">
        <w:t xml:space="preserve">). </w:t>
      </w:r>
      <w:r w:rsidR="00530A20" w:rsidRPr="00264453">
        <w:t xml:space="preserve">Games </w:t>
      </w:r>
      <w:r w:rsidR="007801B8" w:rsidRPr="00264453">
        <w:t>give students inf</w:t>
      </w:r>
      <w:r w:rsidR="00C30F1B" w:rsidRPr="00264453">
        <w:t>ormation at the ti</w:t>
      </w:r>
      <w:r w:rsidR="004D6749" w:rsidRPr="00264453">
        <w:t xml:space="preserve">me of </w:t>
      </w:r>
      <w:r w:rsidR="00264453">
        <w:t xml:space="preserve">their </w:t>
      </w:r>
      <w:r w:rsidR="004D6749" w:rsidRPr="00264453">
        <w:t>need</w:t>
      </w:r>
      <w:r w:rsidR="00530A20" w:rsidRPr="00264453">
        <w:t xml:space="preserve"> (Oblinger, 2004)</w:t>
      </w:r>
      <w:r w:rsidR="00530A20">
        <w:t xml:space="preserve">. </w:t>
      </w:r>
      <w:r w:rsidR="004E3256">
        <w:t xml:space="preserve">Games </w:t>
      </w:r>
      <w:r w:rsidR="00264453">
        <w:t xml:space="preserve">also </w:t>
      </w:r>
      <w:r w:rsidR="004E3256">
        <w:t xml:space="preserve">promote systems thinking, critical and logical thinking, and </w:t>
      </w:r>
      <w:r w:rsidR="0084654D">
        <w:t xml:space="preserve">help students to develop </w:t>
      </w:r>
      <w:r w:rsidR="004E3256">
        <w:t>problem-solving skills (Gee, 2003; Prensky, 2003</w:t>
      </w:r>
      <w:r w:rsidR="007F563B">
        <w:t xml:space="preserve">; Shaffer et al., 2005). </w:t>
      </w:r>
    </w:p>
    <w:p w14:paraId="3A82182F" w14:textId="77777777" w:rsidR="00E02D63" w:rsidRDefault="0010063F" w:rsidP="00B142EB">
      <w:pPr>
        <w:ind w:firstLine="720"/>
      </w:pPr>
      <w:r>
        <w:t>Even with</w:t>
      </w:r>
      <w:r w:rsidR="00A738F6">
        <w:t xml:space="preserve"> all the good that games can do, the</w:t>
      </w:r>
      <w:r w:rsidR="00FD1614">
        <w:t>re are some factors worth considering</w:t>
      </w:r>
      <w:r>
        <w:t xml:space="preserve"> before using GBL</w:t>
      </w:r>
      <w:r w:rsidR="00FD1614">
        <w:t xml:space="preserve">. </w:t>
      </w:r>
      <w:r w:rsidR="00116FAE">
        <w:t xml:space="preserve">Games should not be played just so students can have fun. </w:t>
      </w:r>
      <w:r w:rsidR="00722B2A">
        <w:t xml:space="preserve">The most effective educational </w:t>
      </w:r>
      <w:r w:rsidR="008F08FA">
        <w:t>g</w:t>
      </w:r>
      <w:r w:rsidR="00FD1614">
        <w:t xml:space="preserve">ames </w:t>
      </w:r>
      <w:r w:rsidR="00722B2A">
        <w:t xml:space="preserve">are </w:t>
      </w:r>
      <w:r w:rsidR="00A738F6">
        <w:t>aligned with</w:t>
      </w:r>
      <w:r w:rsidR="00E02D63">
        <w:t xml:space="preserve"> </w:t>
      </w:r>
      <w:r w:rsidR="0093033D">
        <w:t xml:space="preserve">learning </w:t>
      </w:r>
      <w:r w:rsidR="00E02D63">
        <w:t>objectives (</w:t>
      </w:r>
      <w:r w:rsidR="00E14301">
        <w:t xml:space="preserve">de Kock, 2013; Leach &amp; Sugarman, 2006; Mayer &amp; Johnson, 2010; </w:t>
      </w:r>
      <w:r w:rsidR="00E02D63">
        <w:t>Oblinger</w:t>
      </w:r>
      <w:r w:rsidR="00A738F6">
        <w:t xml:space="preserve">, 2004; </w:t>
      </w:r>
      <w:r w:rsidR="00370084">
        <w:t>Shaffer et al., 2005).</w:t>
      </w:r>
      <w:r w:rsidR="00116FAE">
        <w:t xml:space="preserve"> </w:t>
      </w:r>
      <w:r w:rsidR="00370084">
        <w:t xml:space="preserve">Students need to know </w:t>
      </w:r>
      <w:r w:rsidR="0093033D">
        <w:t xml:space="preserve">the </w:t>
      </w:r>
      <w:r w:rsidR="0093033D">
        <w:lastRenderedPageBreak/>
        <w:t xml:space="preserve">purpose of the game, </w:t>
      </w:r>
      <w:r w:rsidR="00370084">
        <w:t xml:space="preserve">why they are </w:t>
      </w:r>
      <w:r w:rsidR="0093033D">
        <w:t xml:space="preserve">playing it </w:t>
      </w:r>
      <w:r w:rsidR="00370084">
        <w:t xml:space="preserve">and how it relates to the </w:t>
      </w:r>
      <w:r w:rsidR="008F08FA">
        <w:t>subject matter at hand</w:t>
      </w:r>
      <w:r w:rsidR="0093033D">
        <w:t xml:space="preserve"> (de Kock, 2013; </w:t>
      </w:r>
      <w:r w:rsidR="008F08FA">
        <w:t xml:space="preserve">Leach &amp; Sugarman, 2006; </w:t>
      </w:r>
      <w:r w:rsidR="0093033D">
        <w:t>Oblinger, 2004)</w:t>
      </w:r>
      <w:r w:rsidR="008F08FA">
        <w:t xml:space="preserve">. </w:t>
      </w:r>
      <w:r w:rsidR="00FB0D03">
        <w:t xml:space="preserve">Games could detract and distract players from properly processing the academic content of the game, i.e., interfere with students’ cognitive processing capabilities (Mayer &amp; Johnson, 2010). </w:t>
      </w:r>
      <w:r w:rsidR="00485E2C">
        <w:t xml:space="preserve">To be most effective, a balance needs to </w:t>
      </w:r>
      <w:r w:rsidR="00155989">
        <w:t>be found</w:t>
      </w:r>
      <w:r w:rsidR="00485E2C">
        <w:t xml:space="preserve"> between the entertainment and </w:t>
      </w:r>
      <w:r w:rsidR="0045061C">
        <w:t>educational features of the game</w:t>
      </w:r>
      <w:r w:rsidR="00155989">
        <w:t xml:space="preserve"> so that student</w:t>
      </w:r>
      <w:r w:rsidR="0045061C">
        <w:t xml:space="preserve"> learning is enhanced (Leach &amp; Sugarman, 2006; Mayer &amp; Johnson, 2010). </w:t>
      </w:r>
    </w:p>
    <w:p w14:paraId="3A821830" w14:textId="77777777" w:rsidR="002B3B20" w:rsidRPr="001523DB" w:rsidRDefault="002B3B20" w:rsidP="002B3B20">
      <w:pPr>
        <w:ind w:firstLine="720"/>
      </w:pPr>
      <w:r>
        <w:t>Students crave something other than lecture and require motivation to learn. They want to be actively involved in their learning and for the learning to have personal meaning (</w:t>
      </w:r>
      <w:r w:rsidR="008764BC">
        <w:t>Shaffer et al., 2005</w:t>
      </w:r>
      <w:r>
        <w:t xml:space="preserve">). They want collaboration, experiential and problem-based learning activities, interactivity, and immediate feedback (Gold, 2005; Leach &amp; Sugarman, 2006; Oblinger, 2004; Shaffer et al., 2005; Smith, 2007). </w:t>
      </w:r>
      <w:r w:rsidR="00994C36">
        <w:t>GBL</w:t>
      </w:r>
      <w:r>
        <w:t xml:space="preserve"> offers students all of these options as well as being an excellent method to increase student motivation. In addition, games allow “. . . librarians [to] appear approachable, flexible, and willing to have fun” (Leach &amp; Sugarman, 2006, p. 197). </w:t>
      </w:r>
    </w:p>
    <w:p w14:paraId="3A821831" w14:textId="77777777" w:rsidR="00CE4116" w:rsidRDefault="004923CC" w:rsidP="0014656E">
      <w:pPr>
        <w:jc w:val="center"/>
        <w:rPr>
          <w:b/>
        </w:rPr>
      </w:pPr>
      <w:r>
        <w:rPr>
          <w:b/>
        </w:rPr>
        <w:t>Significance of the Study</w:t>
      </w:r>
    </w:p>
    <w:p w14:paraId="3A821832" w14:textId="77777777" w:rsidR="00B07DED" w:rsidRPr="00B07DED" w:rsidRDefault="00B07DED" w:rsidP="00B07DED">
      <w:r>
        <w:tab/>
        <w:t xml:space="preserve">There is a dearth of research pertaining to </w:t>
      </w:r>
      <w:r w:rsidR="00952073">
        <w:t>one-time</w:t>
      </w:r>
      <w:r>
        <w:t xml:space="preserve"> library orientations in general (Leach &amp; Sugarman, 2006). </w:t>
      </w:r>
      <w:r w:rsidR="00FF5F3A">
        <w:t xml:space="preserve">While research on </w:t>
      </w:r>
      <w:r w:rsidR="00994C36">
        <w:t>GBL</w:t>
      </w:r>
      <w:r w:rsidR="00FF5F3A">
        <w:t xml:space="preserve"> does exist, the research shows that </w:t>
      </w:r>
      <w:r w:rsidR="00994C36">
        <w:t>GBL</w:t>
      </w:r>
      <w:r w:rsidR="00FF5F3A">
        <w:t xml:space="preserve"> is still a “hard sell” in education (</w:t>
      </w:r>
      <w:r w:rsidR="003B4B8D">
        <w:t xml:space="preserve">de Kock, 2013; </w:t>
      </w:r>
      <w:r w:rsidR="00FF5F3A">
        <w:t xml:space="preserve">Gee, 2003; </w:t>
      </w:r>
      <w:r w:rsidR="00FC6D87">
        <w:t xml:space="preserve">Leach &amp; Sugarman, 2006; </w:t>
      </w:r>
      <w:r w:rsidR="00FF5F3A">
        <w:t xml:space="preserve">Mayer &amp; Johnson, 2010; </w:t>
      </w:r>
      <w:r w:rsidR="00A111DB">
        <w:t xml:space="preserve">New Media Consortium, 2014; </w:t>
      </w:r>
      <w:r w:rsidR="00FC6D87">
        <w:t xml:space="preserve">Oblinger, 2004; </w:t>
      </w:r>
      <w:r w:rsidR="00FF5F3A">
        <w:t xml:space="preserve">Prensky, 2003; </w:t>
      </w:r>
      <w:r w:rsidR="00A111DB">
        <w:t>Shaffer</w:t>
      </w:r>
      <w:r w:rsidR="00643F65">
        <w:t xml:space="preserve"> et al.</w:t>
      </w:r>
      <w:r w:rsidR="00A111DB">
        <w:t>,</w:t>
      </w:r>
      <w:r w:rsidR="00643F65">
        <w:t xml:space="preserve"> 2005;</w:t>
      </w:r>
      <w:r w:rsidR="00A111DB">
        <w:t xml:space="preserve"> </w:t>
      </w:r>
      <w:r w:rsidR="00FC6D87">
        <w:t>Smith</w:t>
      </w:r>
      <w:r w:rsidR="00A111DB">
        <w:t xml:space="preserve">, 2007). </w:t>
      </w:r>
      <w:r w:rsidR="00900DE1">
        <w:t>As expected,</w:t>
      </w:r>
      <w:r w:rsidR="005065AF">
        <w:t xml:space="preserve"> the author discovered there is a lack of recent research focusing on library orientations and </w:t>
      </w:r>
      <w:r w:rsidR="00994C36">
        <w:t>GBL</w:t>
      </w:r>
      <w:r w:rsidR="005065AF">
        <w:t xml:space="preserve"> together. All of these issues c</w:t>
      </w:r>
      <w:r>
        <w:t>ombine</w:t>
      </w:r>
      <w:r w:rsidR="005065AF">
        <w:t>d demonstrate</w:t>
      </w:r>
      <w:r w:rsidR="00567F8C">
        <w:t xml:space="preserve"> a very</w:t>
      </w:r>
      <w:r w:rsidR="006E3B26">
        <w:t xml:space="preserve"> real need for</w:t>
      </w:r>
      <w:r w:rsidR="00F81A56">
        <w:t xml:space="preserve"> current</w:t>
      </w:r>
      <w:r w:rsidR="006E3B26">
        <w:t xml:space="preserve"> rese</w:t>
      </w:r>
      <w:r w:rsidR="00F81A56">
        <w:t xml:space="preserve">arch </w:t>
      </w:r>
      <w:r w:rsidR="005065AF">
        <w:t xml:space="preserve">focusing on </w:t>
      </w:r>
      <w:r w:rsidR="00994C36">
        <w:t>GBL</w:t>
      </w:r>
      <w:r w:rsidR="005065AF">
        <w:t xml:space="preserve"> and </w:t>
      </w:r>
      <w:r w:rsidR="00952073">
        <w:t>one-time</w:t>
      </w:r>
      <w:r w:rsidR="00F81A56">
        <w:t xml:space="preserve"> </w:t>
      </w:r>
      <w:r w:rsidR="005065AF">
        <w:t>library orientations.</w:t>
      </w:r>
      <w:r w:rsidR="00966EA8">
        <w:t xml:space="preserve"> </w:t>
      </w:r>
      <w:r w:rsidR="004932C3">
        <w:t xml:space="preserve">Using games in education is not a new concept; however, it is </w:t>
      </w:r>
      <w:r w:rsidR="00BD34DD">
        <w:t>a concept</w:t>
      </w:r>
      <w:r w:rsidR="004932C3">
        <w:t xml:space="preserve"> that still needs encouragement. </w:t>
      </w:r>
      <w:r w:rsidR="00A669B5">
        <w:t xml:space="preserve">By conducting this study, the author hopes to add the body of research in favor of </w:t>
      </w:r>
      <w:r w:rsidR="00994C36">
        <w:t>GBL</w:t>
      </w:r>
      <w:r w:rsidR="00A669B5">
        <w:t xml:space="preserve"> as well </w:t>
      </w:r>
      <w:r w:rsidR="00A669B5">
        <w:lastRenderedPageBreak/>
        <w:t xml:space="preserve">as provide evidence that </w:t>
      </w:r>
      <w:r w:rsidR="00FB5F17">
        <w:t xml:space="preserve">librarians, students and </w:t>
      </w:r>
      <w:r w:rsidR="00A669B5">
        <w:t>library orientations can benefit from employing this method</w:t>
      </w:r>
      <w:r w:rsidR="0076428F">
        <w:t xml:space="preserve"> of instruction</w:t>
      </w:r>
      <w:r w:rsidR="00FB5F17">
        <w:t xml:space="preserve">. </w:t>
      </w:r>
    </w:p>
    <w:p w14:paraId="3A821833" w14:textId="77777777" w:rsidR="004923CC" w:rsidRDefault="004923CC" w:rsidP="0014656E">
      <w:pPr>
        <w:jc w:val="center"/>
        <w:rPr>
          <w:b/>
        </w:rPr>
      </w:pPr>
      <w:r>
        <w:rPr>
          <w:b/>
        </w:rPr>
        <w:t>Research Questions</w:t>
      </w:r>
      <w:r w:rsidR="007630E8">
        <w:rPr>
          <w:b/>
        </w:rPr>
        <w:t xml:space="preserve"> and Hypothesis</w:t>
      </w:r>
    </w:p>
    <w:p w14:paraId="3A821834" w14:textId="77777777" w:rsidR="00F67D5D" w:rsidRPr="00A50644" w:rsidRDefault="007630E8" w:rsidP="007630E8">
      <w:pPr>
        <w:rPr>
          <w:b/>
        </w:rPr>
      </w:pPr>
      <w:r w:rsidRPr="007630E8">
        <w:rPr>
          <w:b/>
        </w:rPr>
        <w:t>Research Questions</w:t>
      </w:r>
    </w:p>
    <w:p w14:paraId="3A821835" w14:textId="77777777" w:rsidR="00300507" w:rsidRDefault="007630E8" w:rsidP="00A50644">
      <w:pPr>
        <w:pStyle w:val="ListParagraph"/>
        <w:numPr>
          <w:ilvl w:val="0"/>
          <w:numId w:val="3"/>
        </w:numPr>
        <w:jc w:val="both"/>
      </w:pPr>
      <w:r>
        <w:t xml:space="preserve">Is </w:t>
      </w:r>
      <w:r w:rsidR="00994C36">
        <w:t>GBL</w:t>
      </w:r>
      <w:r>
        <w:t xml:space="preserve"> as effective as </w:t>
      </w:r>
      <w:r w:rsidR="00994C36">
        <w:t>TI</w:t>
      </w:r>
      <w:r>
        <w:t xml:space="preserve"> in improving student knowledge in a library orientation setting? </w:t>
      </w:r>
    </w:p>
    <w:p w14:paraId="3A821836" w14:textId="77777777" w:rsidR="007630E8" w:rsidRDefault="00DE4E79" w:rsidP="00A50644">
      <w:pPr>
        <w:pStyle w:val="ListParagraph"/>
        <w:numPr>
          <w:ilvl w:val="0"/>
          <w:numId w:val="3"/>
        </w:numPr>
        <w:jc w:val="both"/>
      </w:pPr>
      <w:r>
        <w:t>Are</w:t>
      </w:r>
      <w:r w:rsidR="007630E8">
        <w:t xml:space="preserve"> students who attend a library orientation that utilizes </w:t>
      </w:r>
      <w:r w:rsidR="00994C36">
        <w:t>GBL</w:t>
      </w:r>
      <w:r>
        <w:t xml:space="preserve"> </w:t>
      </w:r>
      <w:r w:rsidR="007630E8">
        <w:t xml:space="preserve">more engaged and more satisfied with the orientation compared to those who attend a </w:t>
      </w:r>
      <w:r w:rsidR="00994C36">
        <w:t>TI</w:t>
      </w:r>
      <w:r w:rsidR="007630E8">
        <w:t xml:space="preserve"> orientation?</w:t>
      </w:r>
    </w:p>
    <w:p w14:paraId="3A821837" w14:textId="77777777" w:rsidR="007630E8" w:rsidRDefault="007630E8" w:rsidP="007630E8">
      <w:pPr>
        <w:rPr>
          <w:b/>
        </w:rPr>
      </w:pPr>
      <w:r w:rsidRPr="007630E8">
        <w:rPr>
          <w:b/>
        </w:rPr>
        <w:t>Hypothesis</w:t>
      </w:r>
    </w:p>
    <w:p w14:paraId="3A821838" w14:textId="77777777" w:rsidR="007630E8" w:rsidRPr="007630E8" w:rsidRDefault="002A5EF0" w:rsidP="00F67D5D">
      <w:pPr>
        <w:ind w:firstLine="720"/>
        <w:rPr>
          <w:b/>
        </w:rPr>
      </w:pPr>
      <w:r>
        <w:t>The study</w:t>
      </w:r>
      <w:r w:rsidR="00FB28C5">
        <w:t xml:space="preserve"> based </w:t>
      </w:r>
      <w:r w:rsidR="0074685F">
        <w:t xml:space="preserve">on </w:t>
      </w:r>
      <w:r w:rsidR="00994C36">
        <w:t>GBL</w:t>
      </w:r>
      <w:r w:rsidR="00FB28C5">
        <w:t xml:space="preserve"> and library instruction research (</w:t>
      </w:r>
      <w:r w:rsidR="00E30EFE">
        <w:t>de Kock, 2013; Gee, 2003; Lange, 2015; Leach &amp; Sugarman, 2006; Mayer &amp; Johnson, 2010; Oblinger, 2004; Prensky, 2003; Shaffer et al., 2005; Smith, 2007)</w:t>
      </w:r>
      <w:r w:rsidR="0074685F">
        <w:t xml:space="preserve"> </w:t>
      </w:r>
      <w:r>
        <w:t xml:space="preserve">predicts that </w:t>
      </w:r>
      <w:r w:rsidR="00994C36">
        <w:t>GBL</w:t>
      </w:r>
      <w:r w:rsidR="00300507">
        <w:t xml:space="preserve"> will be equally effective as </w:t>
      </w:r>
      <w:r w:rsidR="00994C36">
        <w:t>TI</w:t>
      </w:r>
      <w:r w:rsidR="00300507">
        <w:t xml:space="preserve"> in improving student knowledge in a library orientation setting. </w:t>
      </w:r>
      <w:r>
        <w:t>It also predicts that s</w:t>
      </w:r>
      <w:r w:rsidR="00300507">
        <w:t xml:space="preserve">tudents will exhibit higher levels of satisfaction and engagement with the </w:t>
      </w:r>
      <w:r w:rsidR="00994C36">
        <w:t>GBL</w:t>
      </w:r>
      <w:r w:rsidR="00300507">
        <w:t xml:space="preserve"> approach compared to that of </w:t>
      </w:r>
      <w:r w:rsidR="00994C36">
        <w:t>TI</w:t>
      </w:r>
      <w:r w:rsidR="00300507">
        <w:t>.</w:t>
      </w:r>
    </w:p>
    <w:p w14:paraId="3A821839" w14:textId="77777777" w:rsidR="00E765F6" w:rsidRPr="006E479D" w:rsidRDefault="004923CC" w:rsidP="006E479D">
      <w:pPr>
        <w:jc w:val="center"/>
        <w:rPr>
          <w:b/>
        </w:rPr>
      </w:pPr>
      <w:r>
        <w:rPr>
          <w:b/>
        </w:rPr>
        <w:t>Method</w:t>
      </w:r>
      <w:r w:rsidR="001569D6">
        <w:t xml:space="preserve"> </w:t>
      </w:r>
    </w:p>
    <w:p w14:paraId="3A82183A" w14:textId="77777777" w:rsidR="00FC4F1C" w:rsidRDefault="001D0B90" w:rsidP="00663269">
      <w:pPr>
        <w:rPr>
          <w:b/>
        </w:rPr>
      </w:pPr>
      <w:r>
        <w:rPr>
          <w:b/>
        </w:rPr>
        <w:t>Procedure</w:t>
      </w:r>
    </w:p>
    <w:p w14:paraId="3A82183B" w14:textId="77777777" w:rsidR="00ED12CB" w:rsidRDefault="0053181C" w:rsidP="00ED12CB">
      <w:pPr>
        <w:ind w:firstLine="720"/>
      </w:pPr>
      <w:r>
        <w:t xml:space="preserve">The study takes place at </w:t>
      </w:r>
      <w:r w:rsidR="008B674D">
        <w:t>a business library</w:t>
      </w:r>
      <w:r>
        <w:t xml:space="preserve"> at </w:t>
      </w:r>
      <w:r w:rsidR="00CE4FB7">
        <w:t xml:space="preserve">a </w:t>
      </w:r>
      <w:r w:rsidR="00F0172B">
        <w:t xml:space="preserve">medium-sized </w:t>
      </w:r>
      <w:r w:rsidR="008B674D">
        <w:t xml:space="preserve">private-not-for-profit university in the </w:t>
      </w:r>
      <w:r w:rsidR="00261413">
        <w:t>s</w:t>
      </w:r>
      <w:r w:rsidR="008B674D">
        <w:t>outhern region of the United States. It</w:t>
      </w:r>
      <w:r w:rsidR="005441CA">
        <w:t xml:space="preserve"> </w:t>
      </w:r>
      <w:r w:rsidR="00751197">
        <w:t>involves</w:t>
      </w:r>
      <w:r w:rsidR="005441CA">
        <w:t xml:space="preserve"> two different </w:t>
      </w:r>
      <w:r w:rsidR="008B674D">
        <w:t>b</w:t>
      </w:r>
      <w:r w:rsidR="005441CA">
        <w:t xml:space="preserve">usiness </w:t>
      </w:r>
      <w:r w:rsidR="008B674D">
        <w:t>l</w:t>
      </w:r>
      <w:r w:rsidR="005441CA">
        <w:t>ibrary orientations</w:t>
      </w:r>
      <w:r>
        <w:t xml:space="preserve">. </w:t>
      </w:r>
      <w:r w:rsidR="005441CA">
        <w:t xml:space="preserve">Each orientation session </w:t>
      </w:r>
      <w:r w:rsidR="00DE4E79">
        <w:t>lasts</w:t>
      </w:r>
      <w:r w:rsidR="005441CA">
        <w:t xml:space="preserve"> for one </w:t>
      </w:r>
      <w:r w:rsidR="00A83524">
        <w:t>hour and forty minutes</w:t>
      </w:r>
      <w:r w:rsidR="005441CA">
        <w:t xml:space="preserve">. </w:t>
      </w:r>
      <w:r w:rsidR="00047393">
        <w:t xml:space="preserve">The </w:t>
      </w:r>
      <w:r w:rsidR="007D2801">
        <w:t xml:space="preserve">instruction part of the </w:t>
      </w:r>
      <w:r w:rsidR="00047393">
        <w:t>orientation is the standard one hour</w:t>
      </w:r>
      <w:r w:rsidR="00A83524">
        <w:t>. Forty</w:t>
      </w:r>
      <w:r w:rsidR="00047393">
        <w:t xml:space="preserve"> minutes has been added to give </w:t>
      </w:r>
      <w:r w:rsidR="004430DA">
        <w:t xml:space="preserve">students </w:t>
      </w:r>
      <w:r w:rsidR="00047393">
        <w:t xml:space="preserve">time to complete the demographic </w:t>
      </w:r>
      <w:r w:rsidR="004430DA">
        <w:t>survey and t</w:t>
      </w:r>
      <w:r w:rsidR="00047393">
        <w:t>he pretest</w:t>
      </w:r>
      <w:r w:rsidR="004430DA">
        <w:t xml:space="preserve"> at the beginning</w:t>
      </w:r>
      <w:r w:rsidR="00ED12CB">
        <w:t>, five minutes and ten minutes, respectively,</w:t>
      </w:r>
      <w:r w:rsidR="004430DA">
        <w:t xml:space="preserve"> and </w:t>
      </w:r>
      <w:r w:rsidR="00047393">
        <w:t>the posttest and the satisfaction survey</w:t>
      </w:r>
      <w:r w:rsidR="004430DA">
        <w:t xml:space="preserve"> at the end</w:t>
      </w:r>
      <w:r w:rsidR="00ED12CB">
        <w:t>, ten min</w:t>
      </w:r>
      <w:r w:rsidR="00A83524">
        <w:t>utes each</w:t>
      </w:r>
      <w:r w:rsidR="00047393">
        <w:t xml:space="preserve">. </w:t>
      </w:r>
      <w:r w:rsidR="00A4369A">
        <w:t xml:space="preserve">The orientation </w:t>
      </w:r>
      <w:r w:rsidR="00B001B9">
        <w:t>covers</w:t>
      </w:r>
      <w:r w:rsidR="00B22ABD">
        <w:t xml:space="preserve"> how to use </w:t>
      </w:r>
      <w:r w:rsidR="00A4369A">
        <w:t>library resources, such as the library catalog, research</w:t>
      </w:r>
      <w:r w:rsidR="00B22ABD">
        <w:t xml:space="preserve"> guides, and </w:t>
      </w:r>
      <w:r w:rsidR="00B22ABD">
        <w:lastRenderedPageBreak/>
        <w:t>databases, to</w:t>
      </w:r>
      <w:r w:rsidR="00204FD4">
        <w:t xml:space="preserve"> research</w:t>
      </w:r>
      <w:r w:rsidR="00B22ABD">
        <w:t xml:space="preserve"> a company. </w:t>
      </w:r>
      <w:r w:rsidR="00D86C09">
        <w:t xml:space="preserve">Both sessions use the same librarian as the instructor. The author </w:t>
      </w:r>
      <w:r w:rsidR="00264453">
        <w:t xml:space="preserve">will </w:t>
      </w:r>
      <w:r w:rsidR="00B001B9">
        <w:t>o</w:t>
      </w:r>
      <w:r w:rsidR="00D86C09">
        <w:t xml:space="preserve">bserve both sessions. </w:t>
      </w:r>
    </w:p>
    <w:p w14:paraId="3A82183C" w14:textId="77777777" w:rsidR="001D0B90" w:rsidRPr="001D0B90" w:rsidRDefault="0053181C" w:rsidP="00ED12CB">
      <w:pPr>
        <w:ind w:firstLine="720"/>
      </w:pPr>
      <w:r>
        <w:t xml:space="preserve">Two groups </w:t>
      </w:r>
      <w:r w:rsidR="005E1131">
        <w:t xml:space="preserve">(N=30 per group) </w:t>
      </w:r>
      <w:r>
        <w:t xml:space="preserve">of business undergraduate students attend a library orientation session. </w:t>
      </w:r>
      <w:r w:rsidR="005E1131">
        <w:t>One session</w:t>
      </w:r>
      <w:r w:rsidR="00114DCA">
        <w:t>, the control group,</w:t>
      </w:r>
      <w:r w:rsidR="005E1131">
        <w:t xml:space="preserve"> is taught using </w:t>
      </w:r>
      <w:r w:rsidR="00114DCA">
        <w:t xml:space="preserve">the </w:t>
      </w:r>
      <w:r w:rsidR="00994C36">
        <w:t>TI</w:t>
      </w:r>
      <w:r w:rsidR="005E1131">
        <w:t xml:space="preserve"> metho</w:t>
      </w:r>
      <w:r w:rsidR="00114DCA">
        <w:t>d</w:t>
      </w:r>
      <w:r w:rsidR="005E1131">
        <w:t xml:space="preserve"> of lecture </w:t>
      </w:r>
      <w:r w:rsidR="000C0645">
        <w:t xml:space="preserve">via PowerPoint </w:t>
      </w:r>
      <w:r w:rsidR="002659BD">
        <w:t>interspersed with</w:t>
      </w:r>
      <w:r w:rsidR="005E1131">
        <w:t xml:space="preserve"> hands-on activities. </w:t>
      </w:r>
      <w:r w:rsidR="002659BD">
        <w:t>After each activity, students sh</w:t>
      </w:r>
      <w:r w:rsidR="000D7263">
        <w:t xml:space="preserve">are answers with the entire group. </w:t>
      </w:r>
      <w:r w:rsidR="005E1131">
        <w:t>The other session</w:t>
      </w:r>
      <w:r w:rsidR="00114DCA">
        <w:t>, the experimental group,</w:t>
      </w:r>
      <w:r w:rsidR="005E1131">
        <w:t xml:space="preserve"> is taught using </w:t>
      </w:r>
      <w:r w:rsidR="00BD16C4">
        <w:t xml:space="preserve">a </w:t>
      </w:r>
      <w:r w:rsidR="00994C36">
        <w:t>GBL</w:t>
      </w:r>
      <w:r w:rsidR="00BD16C4">
        <w:t xml:space="preserve"> approach. PowerPoint is used </w:t>
      </w:r>
      <w:r w:rsidR="00114DCA">
        <w:t>to show</w:t>
      </w:r>
      <w:r w:rsidR="00BD16C4">
        <w:t xml:space="preserve"> the instructions for each activity. Students are divided into </w:t>
      </w:r>
      <w:r w:rsidR="004430DA">
        <w:t>ten groups of three</w:t>
      </w:r>
      <w:r w:rsidR="001602A4">
        <w:t>. The groups work together to complete the hands-on activities and compete against each other. Each activity is timed to encourage the sense of competition</w:t>
      </w:r>
      <w:r w:rsidR="004E3776">
        <w:t xml:space="preserve">. </w:t>
      </w:r>
      <w:r w:rsidR="003D0959">
        <w:t xml:space="preserve">Groups share their answers with the entire group. </w:t>
      </w:r>
      <w:r w:rsidR="004E3776">
        <w:t>Th</w:t>
      </w:r>
      <w:r w:rsidR="003D0959">
        <w:t>e first g</w:t>
      </w:r>
      <w:r w:rsidR="000621FA">
        <w:t>roup that correctly finishes each</w:t>
      </w:r>
      <w:r w:rsidR="003D0959">
        <w:t xml:space="preserve"> act</w:t>
      </w:r>
      <w:r w:rsidR="00F768B0">
        <w:t>ivity is</w:t>
      </w:r>
      <w:r w:rsidR="001456C4">
        <w:t xml:space="preserve"> </w:t>
      </w:r>
      <w:r w:rsidR="000621FA">
        <w:t>the winner</w:t>
      </w:r>
      <w:r w:rsidR="003D0959">
        <w:t xml:space="preserve">. Scores </w:t>
      </w:r>
      <w:r w:rsidR="002C3A1B">
        <w:t>are</w:t>
      </w:r>
      <w:r w:rsidR="003D0959">
        <w:t xml:space="preserve"> kept and tallied at the end to declare </w:t>
      </w:r>
      <w:r w:rsidR="00696A12">
        <w:t xml:space="preserve">one group the </w:t>
      </w:r>
      <w:r w:rsidR="003D0959">
        <w:t xml:space="preserve">overall winner. </w:t>
      </w:r>
      <w:r w:rsidR="00FC4F1C">
        <w:t xml:space="preserve"> </w:t>
      </w:r>
    </w:p>
    <w:p w14:paraId="3A82183D" w14:textId="77777777" w:rsidR="00B41FAC" w:rsidRDefault="00B41FAC" w:rsidP="00E765F6">
      <w:pPr>
        <w:rPr>
          <w:b/>
        </w:rPr>
      </w:pPr>
      <w:r w:rsidRPr="006E479D">
        <w:rPr>
          <w:b/>
        </w:rPr>
        <w:t>Principle</w:t>
      </w:r>
    </w:p>
    <w:p w14:paraId="3A82183E" w14:textId="77777777" w:rsidR="006C49E2" w:rsidRPr="006C49E2" w:rsidRDefault="006C49E2" w:rsidP="00E765F6">
      <w:r>
        <w:tab/>
        <w:t xml:space="preserve">Analyzing the </w:t>
      </w:r>
      <w:r w:rsidR="00DC0B3A">
        <w:t xml:space="preserve">data from the </w:t>
      </w:r>
      <w:r>
        <w:t>demographic survey</w:t>
      </w:r>
      <w:r w:rsidR="00DC0B3A">
        <w:t>, including prior library usage,</w:t>
      </w:r>
      <w:r>
        <w:t xml:space="preserve"> and the pretest scores </w:t>
      </w:r>
      <w:r w:rsidR="00DC0B3A">
        <w:t xml:space="preserve">for outliers </w:t>
      </w:r>
      <w:r w:rsidR="008E7830">
        <w:t>helps</w:t>
      </w:r>
      <w:r w:rsidR="00DC0B3A">
        <w:t xml:space="preserve"> to control for differences between the two groups. </w:t>
      </w:r>
      <w:r w:rsidR="00B3467B">
        <w:t xml:space="preserve">Including the </w:t>
      </w:r>
      <w:r w:rsidR="00853A1A" w:rsidRPr="00B83EC0">
        <w:t>pretest and demographic survey</w:t>
      </w:r>
      <w:r w:rsidR="00B3467B">
        <w:t xml:space="preserve"> data</w:t>
      </w:r>
      <w:r w:rsidR="00853A1A" w:rsidRPr="00B83EC0">
        <w:t xml:space="preserve"> </w:t>
      </w:r>
      <w:r w:rsidR="00B83EC0" w:rsidRPr="00B83EC0">
        <w:t xml:space="preserve">in the posttest </w:t>
      </w:r>
      <w:r w:rsidR="00B3467B">
        <w:t>performance</w:t>
      </w:r>
      <w:r w:rsidR="00B83EC0" w:rsidRPr="00B83EC0">
        <w:t xml:space="preserve"> calculation</w:t>
      </w:r>
      <w:r w:rsidR="00286BCF">
        <w:t>s</w:t>
      </w:r>
      <w:r w:rsidR="00B83EC0" w:rsidRPr="00B83EC0">
        <w:t xml:space="preserve"> </w:t>
      </w:r>
      <w:r w:rsidR="000503A8">
        <w:t xml:space="preserve">will </w:t>
      </w:r>
      <w:r w:rsidR="00D831BC">
        <w:t>function</w:t>
      </w:r>
      <w:r w:rsidR="00286BCF">
        <w:t xml:space="preserve"> as additional control </w:t>
      </w:r>
      <w:r w:rsidR="00006149">
        <w:t>measur</w:t>
      </w:r>
      <w:r w:rsidR="00286BCF">
        <w:t>es. Calculating t</w:t>
      </w:r>
      <w:r w:rsidR="00853A1A" w:rsidRPr="00B83EC0">
        <w:t>he mean, t</w:t>
      </w:r>
      <w:r w:rsidR="00565400" w:rsidRPr="00B83EC0">
        <w:t xml:space="preserve">he standard deviation, </w:t>
      </w:r>
      <w:r w:rsidR="00B83EC0" w:rsidRPr="00B83EC0">
        <w:t xml:space="preserve">and </w:t>
      </w:r>
      <w:r w:rsidR="00853A1A" w:rsidRPr="00B83EC0">
        <w:t xml:space="preserve">the </w:t>
      </w:r>
      <w:r w:rsidR="00DC0B3A" w:rsidRPr="00B83EC0">
        <w:t>analysis</w:t>
      </w:r>
      <w:r w:rsidR="00F63D67" w:rsidRPr="00B83EC0">
        <w:t xml:space="preserve"> of variance of </w:t>
      </w:r>
      <w:r w:rsidR="00DC0B3A" w:rsidRPr="00B83EC0">
        <w:t>posttest</w:t>
      </w:r>
      <w:r w:rsidR="004B079C" w:rsidRPr="00B83EC0">
        <w:t xml:space="preserve"> </w:t>
      </w:r>
      <w:r w:rsidR="00B83EC0" w:rsidRPr="00B83EC0">
        <w:t>scores</w:t>
      </w:r>
      <w:r w:rsidR="00A9522D" w:rsidRPr="00B83EC0">
        <w:t xml:space="preserve"> </w:t>
      </w:r>
      <w:r w:rsidR="00286BCF">
        <w:t xml:space="preserve">combined </w:t>
      </w:r>
      <w:r w:rsidR="00565400" w:rsidRPr="00B83EC0">
        <w:t xml:space="preserve">with Cohen’s </w:t>
      </w:r>
      <w:r w:rsidR="00565400" w:rsidRPr="00B83EC0">
        <w:rPr>
          <w:i/>
        </w:rPr>
        <w:t>d</w:t>
      </w:r>
      <w:r w:rsidR="00565400" w:rsidRPr="00B83EC0">
        <w:t xml:space="preserve"> </w:t>
      </w:r>
      <w:r w:rsidR="00286BCF">
        <w:t xml:space="preserve">will </w:t>
      </w:r>
      <w:r w:rsidR="008E7830" w:rsidRPr="00B83EC0">
        <w:t>serve</w:t>
      </w:r>
      <w:r w:rsidR="00A9522D" w:rsidRPr="00B83EC0">
        <w:t xml:space="preserve"> as the best method</w:t>
      </w:r>
      <w:r w:rsidR="0000062B" w:rsidRPr="00B83EC0">
        <w:t>s</w:t>
      </w:r>
      <w:r w:rsidR="00A9522D" w:rsidRPr="00B83EC0">
        <w:t xml:space="preserve"> for determining </w:t>
      </w:r>
      <w:r w:rsidR="004B079C" w:rsidRPr="00B83EC0">
        <w:t xml:space="preserve">if </w:t>
      </w:r>
      <w:r w:rsidR="000D0EB9" w:rsidRPr="00B83EC0">
        <w:t xml:space="preserve">any </w:t>
      </w:r>
      <w:r w:rsidR="00312A12">
        <w:t xml:space="preserve">significant </w:t>
      </w:r>
      <w:r w:rsidR="004B079C" w:rsidRPr="00B83EC0">
        <w:t xml:space="preserve">differences </w:t>
      </w:r>
      <w:r w:rsidR="00286BCF">
        <w:t>occurred</w:t>
      </w:r>
      <w:r w:rsidR="004B079C" w:rsidRPr="00B83EC0">
        <w:t xml:space="preserve"> </w:t>
      </w:r>
      <w:r w:rsidR="00F63D67" w:rsidRPr="00B83EC0">
        <w:t>between</w:t>
      </w:r>
      <w:r w:rsidR="004B079C" w:rsidRPr="00B83EC0">
        <w:t xml:space="preserve"> the two groups.</w:t>
      </w:r>
      <w:r w:rsidR="00DC0B3A">
        <w:t xml:space="preserve"> </w:t>
      </w:r>
    </w:p>
    <w:p w14:paraId="3A82183F" w14:textId="77777777" w:rsidR="00B41FAC" w:rsidRDefault="00B41FAC" w:rsidP="00E765F6">
      <w:pPr>
        <w:rPr>
          <w:b/>
        </w:rPr>
      </w:pPr>
      <w:r w:rsidRPr="006E479D">
        <w:rPr>
          <w:b/>
        </w:rPr>
        <w:t>Type of Design</w:t>
      </w:r>
    </w:p>
    <w:p w14:paraId="3A821840" w14:textId="77777777" w:rsidR="00663269" w:rsidRDefault="006E479D" w:rsidP="00E765F6">
      <w:r>
        <w:rPr>
          <w:b/>
        </w:rPr>
        <w:tab/>
      </w:r>
      <w:r>
        <w:t>This study use</w:t>
      </w:r>
      <w:r w:rsidR="00596352">
        <w:t>s a mixed-</w:t>
      </w:r>
      <w:r>
        <w:t xml:space="preserve">methods </w:t>
      </w:r>
      <w:r w:rsidR="00C92AF4">
        <w:t>design,</w:t>
      </w:r>
      <w:r>
        <w:t xml:space="preserve"> as both quantitative and qualitative data </w:t>
      </w:r>
      <w:r w:rsidR="00E121AF">
        <w:t>will be</w:t>
      </w:r>
      <w:r w:rsidR="003B64FA">
        <w:t xml:space="preserve"> </w:t>
      </w:r>
      <w:r>
        <w:t>gathered</w:t>
      </w:r>
      <w:r w:rsidR="00AC5425">
        <w:t xml:space="preserve"> with the purpose of proving the null hypothesis correct</w:t>
      </w:r>
      <w:r>
        <w:t xml:space="preserve">. </w:t>
      </w:r>
      <w:r w:rsidR="002E7ED9">
        <w:t xml:space="preserve">A quasi-experimental approach in the form of a pretest/posttest </w:t>
      </w:r>
      <w:r w:rsidR="006B6B33">
        <w:t xml:space="preserve">method </w:t>
      </w:r>
      <w:r w:rsidR="003B64FA">
        <w:t>is</w:t>
      </w:r>
      <w:r w:rsidR="002E7ED9">
        <w:t xml:space="preserve"> use</w:t>
      </w:r>
      <w:r w:rsidR="00ED7DFB">
        <w:t xml:space="preserve">d </w:t>
      </w:r>
      <w:r w:rsidR="007B3674">
        <w:t xml:space="preserve">to test the hypothesis. </w:t>
      </w:r>
      <w:r w:rsidR="00FC4E15">
        <w:t xml:space="preserve">The study is a modification of the approach used by Kiger, Herro, and Prunty (2012) during their research. </w:t>
      </w:r>
      <w:r w:rsidR="00694C28">
        <w:t xml:space="preserve">Satisfaction data </w:t>
      </w:r>
      <w:r w:rsidR="003B64FA">
        <w:lastRenderedPageBreak/>
        <w:t>is</w:t>
      </w:r>
      <w:r w:rsidR="00694C28">
        <w:t xml:space="preserve"> used to </w:t>
      </w:r>
      <w:r w:rsidR="00555A6F">
        <w:t xml:space="preserve">prove that </w:t>
      </w:r>
      <w:r w:rsidR="00994C36">
        <w:t>GBL</w:t>
      </w:r>
      <w:r w:rsidR="00555A6F">
        <w:t xml:space="preserve"> yields more engaged studen</w:t>
      </w:r>
      <w:r w:rsidR="008F14A3">
        <w:t xml:space="preserve">ts as well as students that are more satisfied with a </w:t>
      </w:r>
      <w:r w:rsidR="00994C36">
        <w:t>GBL</w:t>
      </w:r>
      <w:r w:rsidR="008F14A3">
        <w:t xml:space="preserve"> approach to instruction over those who attend a </w:t>
      </w:r>
      <w:r w:rsidR="00994C36">
        <w:t>TI</w:t>
      </w:r>
      <w:r w:rsidR="008F14A3">
        <w:t xml:space="preserve"> approach for a </w:t>
      </w:r>
      <w:r w:rsidR="00952073">
        <w:t>one-time</w:t>
      </w:r>
      <w:r w:rsidR="008F14A3">
        <w:t xml:space="preserve"> library orientation. </w:t>
      </w:r>
    </w:p>
    <w:p w14:paraId="3A821841" w14:textId="77777777" w:rsidR="00B41FAC" w:rsidRDefault="007C2360" w:rsidP="00E765F6">
      <w:pPr>
        <w:rPr>
          <w:b/>
        </w:rPr>
      </w:pPr>
      <w:r>
        <w:rPr>
          <w:b/>
        </w:rPr>
        <w:t>Independent Variable</w:t>
      </w:r>
      <w:r w:rsidR="00394087">
        <w:rPr>
          <w:b/>
        </w:rPr>
        <w:t>s</w:t>
      </w:r>
    </w:p>
    <w:p w14:paraId="3A821842" w14:textId="77777777" w:rsidR="00596352" w:rsidRPr="006E479D" w:rsidRDefault="00CE43E5" w:rsidP="00E765F6">
      <w:pPr>
        <w:rPr>
          <w:b/>
        </w:rPr>
      </w:pPr>
      <w:r>
        <w:tab/>
      </w:r>
      <w:r w:rsidR="007C2360">
        <w:t>The independent variable</w:t>
      </w:r>
      <w:r w:rsidR="00394087">
        <w:t xml:space="preserve"> in this study is the method of instruction, </w:t>
      </w:r>
      <w:r w:rsidR="00994C36">
        <w:t>GBL</w:t>
      </w:r>
      <w:r w:rsidR="00394087">
        <w:t xml:space="preserve"> or traditional. Student demographics and pr</w:t>
      </w:r>
      <w:r w:rsidR="00A732B5">
        <w:t xml:space="preserve">ior library usage are extraneous </w:t>
      </w:r>
      <w:r w:rsidR="00394087">
        <w:t xml:space="preserve">variables that </w:t>
      </w:r>
      <w:r w:rsidR="00A732B5">
        <w:t xml:space="preserve">could </w:t>
      </w:r>
      <w:r w:rsidR="00394087">
        <w:t xml:space="preserve">affect student test results and the group </w:t>
      </w:r>
      <w:r w:rsidR="00F86B71">
        <w:t xml:space="preserve">distributions, which is why </w:t>
      </w:r>
      <w:r w:rsidR="003F3398">
        <w:t xml:space="preserve">the </w:t>
      </w:r>
      <w:r w:rsidR="00F86B71">
        <w:t xml:space="preserve">demographic survey, including </w:t>
      </w:r>
      <w:r w:rsidR="00631B63">
        <w:t>prior library usage</w:t>
      </w:r>
      <w:r w:rsidR="00F86B71">
        <w:t xml:space="preserve">, </w:t>
      </w:r>
      <w:r w:rsidR="00CE3F5B">
        <w:t xml:space="preserve">and a pretest </w:t>
      </w:r>
      <w:r w:rsidR="00E91386">
        <w:t>are</w:t>
      </w:r>
      <w:r w:rsidR="00DD076A">
        <w:t xml:space="preserve"> </w:t>
      </w:r>
      <w:r w:rsidR="00F86B71">
        <w:t xml:space="preserve">given to all students at the beginning of the library orientations. </w:t>
      </w:r>
      <w:r w:rsidR="000E02B0">
        <w:t xml:space="preserve">The data </w:t>
      </w:r>
      <w:r w:rsidR="00DD076A">
        <w:t>will be</w:t>
      </w:r>
      <w:r w:rsidR="003B64FA">
        <w:t xml:space="preserve"> </w:t>
      </w:r>
      <w:r w:rsidR="000E02B0">
        <w:t>analyzed to help control for group differences.</w:t>
      </w:r>
      <w:r w:rsidR="00394087">
        <w:t xml:space="preserve"> </w:t>
      </w:r>
    </w:p>
    <w:p w14:paraId="3A821843" w14:textId="77777777" w:rsidR="00B41FAC" w:rsidRDefault="00B41FAC" w:rsidP="00E765F6">
      <w:pPr>
        <w:rPr>
          <w:b/>
        </w:rPr>
      </w:pPr>
      <w:r w:rsidRPr="006E479D">
        <w:rPr>
          <w:b/>
        </w:rPr>
        <w:t>Dependent Variables</w:t>
      </w:r>
    </w:p>
    <w:p w14:paraId="3A821844" w14:textId="77777777" w:rsidR="00A77958" w:rsidRDefault="000B4F4F" w:rsidP="00E765F6">
      <w:r>
        <w:rPr>
          <w:b/>
        </w:rPr>
        <w:tab/>
      </w:r>
      <w:r w:rsidR="00B61A91">
        <w:t>The depende</w:t>
      </w:r>
      <w:r w:rsidR="00CE3F5B">
        <w:t xml:space="preserve">nt variables </w:t>
      </w:r>
      <w:r w:rsidR="00B61A91">
        <w:t>i</w:t>
      </w:r>
      <w:r w:rsidR="00CE3F5B">
        <w:t>n this study are the</w:t>
      </w:r>
      <w:r w:rsidR="00B61A91">
        <w:t xml:space="preserve"> posttest scores of the students</w:t>
      </w:r>
      <w:r w:rsidR="001B7AAD">
        <w:t xml:space="preserve"> and the open-ended responses pertaining to student satisfaction and level of engagement</w:t>
      </w:r>
      <w:r w:rsidR="00CE3F5B">
        <w:t>. The study uses the same test for the pretest and the posttest. The questions test students’</w:t>
      </w:r>
      <w:r w:rsidR="00DB3FF8">
        <w:t xml:space="preserve"> </w:t>
      </w:r>
      <w:r w:rsidR="00CE3F5B">
        <w:t>abilities to find</w:t>
      </w:r>
      <w:r w:rsidR="006372CE">
        <w:t>, locate</w:t>
      </w:r>
      <w:r w:rsidR="00A77958">
        <w:t>,</w:t>
      </w:r>
      <w:r w:rsidR="006372CE">
        <w:t xml:space="preserve"> and </w:t>
      </w:r>
      <w:r w:rsidR="00CE3F5B">
        <w:t>evaluate</w:t>
      </w:r>
      <w:r w:rsidR="0007714D">
        <w:t xml:space="preserve"> </w:t>
      </w:r>
      <w:r w:rsidR="00DB3FF8">
        <w:t xml:space="preserve">company data using online library </w:t>
      </w:r>
      <w:r w:rsidR="00584144">
        <w:t>resources</w:t>
      </w:r>
      <w:r w:rsidR="006372CE">
        <w:t xml:space="preserve">. The </w:t>
      </w:r>
      <w:r w:rsidR="00584144">
        <w:t xml:space="preserve">timed </w:t>
      </w:r>
      <w:r w:rsidR="00BA23B8">
        <w:t>tests</w:t>
      </w:r>
      <w:r w:rsidR="006372CE">
        <w:t xml:space="preserve"> </w:t>
      </w:r>
      <w:r w:rsidR="00BA23B8">
        <w:t xml:space="preserve">are </w:t>
      </w:r>
      <w:r w:rsidR="008470DF">
        <w:t xml:space="preserve">given via </w:t>
      </w:r>
      <w:r w:rsidR="006372CE">
        <w:t>paper-and-pencil</w:t>
      </w:r>
      <w:r w:rsidR="008470DF">
        <w:t xml:space="preserve">. Students have </w:t>
      </w:r>
      <w:r w:rsidR="006372CE">
        <w:t>ten minutes to an</w:t>
      </w:r>
      <w:r w:rsidR="00584144">
        <w:t xml:space="preserve">swer </w:t>
      </w:r>
      <w:r w:rsidR="008470DF">
        <w:t xml:space="preserve">twenty </w:t>
      </w:r>
      <w:r w:rsidR="006372CE">
        <w:t xml:space="preserve">questions. </w:t>
      </w:r>
    </w:p>
    <w:p w14:paraId="3A821845" w14:textId="77777777" w:rsidR="00B41FAC" w:rsidRDefault="00B41FAC" w:rsidP="00E765F6">
      <w:pPr>
        <w:rPr>
          <w:b/>
        </w:rPr>
      </w:pPr>
      <w:r w:rsidRPr="006E479D">
        <w:rPr>
          <w:b/>
        </w:rPr>
        <w:t>Factors Jeopardizing Internal and External Validity</w:t>
      </w:r>
    </w:p>
    <w:p w14:paraId="3A821846" w14:textId="40EA44A5" w:rsidR="003C61A4" w:rsidRPr="00946129" w:rsidRDefault="003C61A4" w:rsidP="00E765F6">
      <w:r>
        <w:rPr>
          <w:b/>
        </w:rPr>
        <w:tab/>
      </w:r>
      <w:r w:rsidR="00807990">
        <w:t>Testing could jeopardize</w:t>
      </w:r>
      <w:r w:rsidR="00946129">
        <w:t xml:space="preserve"> internal validity as being exposed to the pretest could skew posttest scores.</w:t>
      </w:r>
      <w:r w:rsidR="000355A5">
        <w:t xml:space="preserve"> Since the students </w:t>
      </w:r>
      <w:r w:rsidR="00C92AF4">
        <w:t>will not be</w:t>
      </w:r>
      <w:r w:rsidR="000355A5">
        <w:t xml:space="preserve"> randomly selected, selection bias and histor</w:t>
      </w:r>
      <w:r w:rsidR="00807990">
        <w:t xml:space="preserve">y could also skew </w:t>
      </w:r>
      <w:r w:rsidR="00F720E4">
        <w:t>p</w:t>
      </w:r>
      <w:r w:rsidR="00807990">
        <w:t xml:space="preserve">osttest </w:t>
      </w:r>
      <w:r w:rsidR="00F720E4">
        <w:t>performance,</w:t>
      </w:r>
      <w:r w:rsidR="000355A5">
        <w:t xml:space="preserve"> as the two groups may not be truly equivalent. </w:t>
      </w:r>
      <w:r w:rsidR="00CF0F64">
        <w:t xml:space="preserve">In addition, the effect of experimentation could skew results as the newness of using </w:t>
      </w:r>
      <w:r w:rsidR="00994C36">
        <w:t>GBL</w:t>
      </w:r>
      <w:r w:rsidR="00CF0F64">
        <w:t xml:space="preserve"> with the experimental group</w:t>
      </w:r>
      <w:r w:rsidR="008D5778">
        <w:t xml:space="preserve"> could cause students to act</w:t>
      </w:r>
      <w:r w:rsidR="00F71B01">
        <w:t xml:space="preserve"> differently, which could </w:t>
      </w:r>
      <w:r w:rsidR="00AB1860">
        <w:t>influence</w:t>
      </w:r>
      <w:r w:rsidR="00F71B01">
        <w:t xml:space="preserve"> their posttest results. </w:t>
      </w:r>
    </w:p>
    <w:p w14:paraId="3A821847" w14:textId="6D3B0B2F" w:rsidR="00B41FAC" w:rsidRDefault="00B41FAC" w:rsidP="00E765F6">
      <w:pPr>
        <w:rPr>
          <w:b/>
        </w:rPr>
      </w:pPr>
      <w:r w:rsidRPr="006E479D">
        <w:rPr>
          <w:b/>
        </w:rPr>
        <w:t>Sample</w:t>
      </w:r>
      <w:r w:rsidR="007E1C08">
        <w:rPr>
          <w:b/>
        </w:rPr>
        <w:t xml:space="preserve"> and P</w:t>
      </w:r>
      <w:r w:rsidR="00490882">
        <w:rPr>
          <w:b/>
        </w:rPr>
        <w:t>articipants</w:t>
      </w:r>
    </w:p>
    <w:p w14:paraId="3A821848" w14:textId="77777777" w:rsidR="001D0B90" w:rsidRDefault="00596352" w:rsidP="00E765F6">
      <w:r>
        <w:rPr>
          <w:b/>
        </w:rPr>
        <w:lastRenderedPageBreak/>
        <w:tab/>
      </w:r>
      <w:r w:rsidR="002E7ED9">
        <w:t>Participants in this study are</w:t>
      </w:r>
      <w:r>
        <w:t xml:space="preserve"> sixty business undergraduate students from </w:t>
      </w:r>
      <w:r w:rsidR="00A062A5">
        <w:t>a business school</w:t>
      </w:r>
      <w:r>
        <w:t xml:space="preserve"> </w:t>
      </w:r>
      <w:r w:rsidR="00A062A5">
        <w:t xml:space="preserve">at a </w:t>
      </w:r>
      <w:r w:rsidR="00F0172B">
        <w:t xml:space="preserve">medium-sized </w:t>
      </w:r>
      <w:r w:rsidR="00A062A5">
        <w:t xml:space="preserve">private-not-for-profit university in the </w:t>
      </w:r>
      <w:r w:rsidR="00712344">
        <w:t>s</w:t>
      </w:r>
      <w:r w:rsidR="00A062A5">
        <w:t>outhern region of the United States</w:t>
      </w:r>
      <w:r w:rsidR="001D0B90">
        <w:t>. S</w:t>
      </w:r>
      <w:r w:rsidR="001F00FC">
        <w:t xml:space="preserve">tudents </w:t>
      </w:r>
      <w:r w:rsidR="00AA472A">
        <w:t>are either sophomores or</w:t>
      </w:r>
      <w:r w:rsidR="003570AD">
        <w:t xml:space="preserve"> juniors</w:t>
      </w:r>
      <w:r w:rsidR="00DD59FE">
        <w:t xml:space="preserve"> and cover various ethnicities. </w:t>
      </w:r>
      <w:r w:rsidR="00AA5E33">
        <w:t>Students register</w:t>
      </w:r>
      <w:r w:rsidR="00394087">
        <w:t xml:space="preserve"> for the library orientation</w:t>
      </w:r>
      <w:r w:rsidR="00993F27">
        <w:t>s</w:t>
      </w:r>
      <w:r w:rsidR="00394087">
        <w:t xml:space="preserve"> online</w:t>
      </w:r>
      <w:r w:rsidR="003E0412">
        <w:t>. O</w:t>
      </w:r>
      <w:r w:rsidR="00903ADD">
        <w:t xml:space="preserve">ne group </w:t>
      </w:r>
      <w:r w:rsidR="003D2467">
        <w:t>(N=30) is</w:t>
      </w:r>
      <w:r w:rsidR="00903ADD">
        <w:t xml:space="preserve"> designated as</w:t>
      </w:r>
      <w:r w:rsidR="00394087">
        <w:t xml:space="preserve"> the </w:t>
      </w:r>
      <w:r w:rsidR="00994C36">
        <w:t>TI</w:t>
      </w:r>
      <w:r w:rsidR="003D2467">
        <w:t xml:space="preserve"> group and the other (N=30) </w:t>
      </w:r>
      <w:r w:rsidR="00903ADD">
        <w:t>designated</w:t>
      </w:r>
      <w:r w:rsidR="00394087">
        <w:t xml:space="preserve"> </w:t>
      </w:r>
      <w:r w:rsidR="00903ADD">
        <w:t>as t</w:t>
      </w:r>
      <w:r w:rsidR="00394087">
        <w:t xml:space="preserve">he </w:t>
      </w:r>
      <w:r w:rsidR="00994C36">
        <w:t>GBL</w:t>
      </w:r>
      <w:r w:rsidR="00394087">
        <w:t xml:space="preserve"> instruction group. Although random selection </w:t>
      </w:r>
      <w:r w:rsidR="00031B78">
        <w:t>will</w:t>
      </w:r>
      <w:r w:rsidR="00394087">
        <w:t xml:space="preserve"> not </w:t>
      </w:r>
      <w:r w:rsidR="00031B78">
        <w:t xml:space="preserve">be </w:t>
      </w:r>
      <w:r w:rsidR="00394087">
        <w:t xml:space="preserve">employed in this experiment as not all business undergraduate students </w:t>
      </w:r>
      <w:r w:rsidR="00031B78">
        <w:t xml:space="preserve">will have </w:t>
      </w:r>
      <w:r w:rsidR="00394087">
        <w:t>an equal chance to participate as some students ha</w:t>
      </w:r>
      <w:r w:rsidR="00445209">
        <w:t xml:space="preserve">ve </w:t>
      </w:r>
      <w:r w:rsidR="00394087">
        <w:t>already attended previous library orientations</w:t>
      </w:r>
      <w:r w:rsidR="00A732B5">
        <w:t xml:space="preserve">, the selected students </w:t>
      </w:r>
      <w:r w:rsidR="00394087">
        <w:t>should approximately represent the business undergraduate population</w:t>
      </w:r>
      <w:r w:rsidR="00AA472A">
        <w:t xml:space="preserve"> of sophomores and juniors</w:t>
      </w:r>
      <w:r w:rsidR="00394087">
        <w:t xml:space="preserve">. </w:t>
      </w:r>
    </w:p>
    <w:p w14:paraId="3A821849" w14:textId="77777777" w:rsidR="00B41FAC" w:rsidRDefault="00B41FAC" w:rsidP="00E765F6">
      <w:pPr>
        <w:rPr>
          <w:b/>
        </w:rPr>
      </w:pPr>
      <w:r w:rsidRPr="006E479D">
        <w:rPr>
          <w:b/>
        </w:rPr>
        <w:t>Data Collection</w:t>
      </w:r>
    </w:p>
    <w:p w14:paraId="3A82184A" w14:textId="6338A91A" w:rsidR="005E6430" w:rsidRDefault="00623CA6" w:rsidP="00E765F6">
      <w:r>
        <w:rPr>
          <w:b/>
        </w:rPr>
        <w:tab/>
      </w:r>
      <w:r w:rsidR="00621E0A">
        <w:t xml:space="preserve">The demographic survey </w:t>
      </w:r>
      <w:r w:rsidR="007E6F0F">
        <w:t>asks</w:t>
      </w:r>
      <w:r w:rsidR="00621E0A">
        <w:t xml:space="preserve"> the following questions: gender, grade level, ethnicity, area of concentration, </w:t>
      </w:r>
      <w:r w:rsidR="009B41A8">
        <w:t xml:space="preserve">and </w:t>
      </w:r>
      <w:r w:rsidR="008F586B">
        <w:t xml:space="preserve">level of familiarity with </w:t>
      </w:r>
      <w:r w:rsidR="005E422D">
        <w:t>the l</w:t>
      </w:r>
      <w:r w:rsidR="008F586B">
        <w:t>ibrary. The pretest and po</w:t>
      </w:r>
      <w:r w:rsidR="00297EE5">
        <w:t xml:space="preserve">sttest </w:t>
      </w:r>
      <w:r w:rsidR="007E6F0F">
        <w:t>are</w:t>
      </w:r>
      <w:r w:rsidR="00297EE5">
        <w:t xml:space="preserve"> the same. </w:t>
      </w:r>
      <w:r w:rsidR="00DF4066">
        <w:t>S</w:t>
      </w:r>
      <w:r w:rsidR="008F586B">
        <w:t>ample question</w:t>
      </w:r>
      <w:r w:rsidR="00DF4066">
        <w:t>s</w:t>
      </w:r>
      <w:r w:rsidR="008F586B">
        <w:t xml:space="preserve"> from the tes</w:t>
      </w:r>
      <w:r w:rsidR="00DF4066">
        <w:t xml:space="preserve">t </w:t>
      </w:r>
      <w:r w:rsidR="007E6F0F">
        <w:t>are</w:t>
      </w:r>
      <w:r w:rsidR="008F586B">
        <w:t xml:space="preserve"> t</w:t>
      </w:r>
      <w:r w:rsidR="00DF4066">
        <w:t xml:space="preserve">he following: What is the ticker of Apple Inc.? Who is a </w:t>
      </w:r>
      <w:r w:rsidR="003B5FE1">
        <w:t xml:space="preserve">national </w:t>
      </w:r>
      <w:r w:rsidR="00DF4066">
        <w:t xml:space="preserve">competitor of Alphabet Inc.? What is the </w:t>
      </w:r>
      <w:r w:rsidR="009F01C5">
        <w:t>Standard Industrial Classification (</w:t>
      </w:r>
      <w:r w:rsidR="00DF4066">
        <w:t>SIC</w:t>
      </w:r>
      <w:r w:rsidR="009F01C5">
        <w:t>)</w:t>
      </w:r>
      <w:r w:rsidR="00DF4066">
        <w:t xml:space="preserve"> code and description for Diamondback Energy?</w:t>
      </w:r>
      <w:r w:rsidR="001B6E8B">
        <w:t xml:space="preserve"> </w:t>
      </w:r>
    </w:p>
    <w:p w14:paraId="3A82184B" w14:textId="77777777" w:rsidR="00623CA6" w:rsidRPr="00623CA6" w:rsidRDefault="00013D5F" w:rsidP="005E6430">
      <w:pPr>
        <w:ind w:firstLine="720"/>
      </w:pPr>
      <w:r>
        <w:t xml:space="preserve">The satisfaction survey </w:t>
      </w:r>
      <w:r w:rsidR="00445209">
        <w:t>uses</w:t>
      </w:r>
      <w:r>
        <w:t xml:space="preserve"> both quantitative data in the form of</w:t>
      </w:r>
      <w:r w:rsidR="00BC48BF">
        <w:t xml:space="preserve"> five</w:t>
      </w:r>
      <w:r>
        <w:t xml:space="preserve"> Likert-scale </w:t>
      </w:r>
      <w:r w:rsidR="00BC48BF">
        <w:t xml:space="preserve">questions </w:t>
      </w:r>
      <w:r>
        <w:t xml:space="preserve">and qualitative data in the form of </w:t>
      </w:r>
      <w:r w:rsidR="00BC48BF">
        <w:t xml:space="preserve">three </w:t>
      </w:r>
      <w:r>
        <w:t xml:space="preserve">open-ended questions. </w:t>
      </w:r>
      <w:r w:rsidR="00886BFC">
        <w:t xml:space="preserve">Sample </w:t>
      </w:r>
      <w:r w:rsidR="00874AE2">
        <w:t xml:space="preserve">survey </w:t>
      </w:r>
      <w:r w:rsidR="00886BFC">
        <w:t xml:space="preserve">questions are the following: On a scale of 1 to 5, rate your level of satisfaction with the library orientation with 1 being least satisfied and 5 being most satisfied. </w:t>
      </w:r>
      <w:r w:rsidR="00C055E9">
        <w:t xml:space="preserve">On a scale of 1 to 5, rate your level of engagement with the library orientation with 1 being </w:t>
      </w:r>
      <w:r w:rsidR="00DA2D53">
        <w:t xml:space="preserve">no involvement and 5 being heavily involved. </w:t>
      </w:r>
      <w:r w:rsidR="00D27C20">
        <w:t>O</w:t>
      </w:r>
      <w:r w:rsidR="00874AE2">
        <w:t>pen-ended questions are the following: What did you like most about the library orientation? What did you like least about the library orientation?</w:t>
      </w:r>
      <w:r w:rsidR="00297EE5">
        <w:t xml:space="preserve"> What is your opinion of the </w:t>
      </w:r>
      <w:r w:rsidR="00D27C20">
        <w:t>l</w:t>
      </w:r>
      <w:r w:rsidR="00297EE5">
        <w:t xml:space="preserve">ibrary after attending </w:t>
      </w:r>
      <w:r w:rsidR="00B43337">
        <w:t>this orientation and why?</w:t>
      </w:r>
    </w:p>
    <w:p w14:paraId="3A82184C" w14:textId="77777777" w:rsidR="00B41FAC" w:rsidRDefault="00B41FAC" w:rsidP="00E765F6">
      <w:pPr>
        <w:rPr>
          <w:b/>
        </w:rPr>
      </w:pPr>
      <w:r w:rsidRPr="006E479D">
        <w:rPr>
          <w:b/>
        </w:rPr>
        <w:lastRenderedPageBreak/>
        <w:t>Data Analysis Procedures</w:t>
      </w:r>
    </w:p>
    <w:p w14:paraId="3A82184D" w14:textId="77777777" w:rsidR="00A77958" w:rsidRPr="00A77958" w:rsidRDefault="00A77958" w:rsidP="00E765F6">
      <w:r>
        <w:rPr>
          <w:b/>
        </w:rPr>
        <w:tab/>
      </w:r>
      <w:r w:rsidR="00BC2E16">
        <w:t xml:space="preserve">Demographic data </w:t>
      </w:r>
      <w:r w:rsidR="005C5428">
        <w:t>will be</w:t>
      </w:r>
      <w:r w:rsidR="00BC2E16">
        <w:t xml:space="preserve"> analyzed to determine </w:t>
      </w:r>
      <w:r w:rsidR="001B6E8B">
        <w:t xml:space="preserve">how evenly the groups are distributed and to discover </w:t>
      </w:r>
      <w:r w:rsidR="00BC2E16">
        <w:t xml:space="preserve">outliers, such as students who are already extremely familiar with using library resources. </w:t>
      </w:r>
      <w:r w:rsidR="00EB5D4E">
        <w:t>Outl</w:t>
      </w:r>
      <w:r w:rsidR="00891B26">
        <w:t xml:space="preserve">ier scores </w:t>
      </w:r>
      <w:r w:rsidR="005C5428">
        <w:t xml:space="preserve">will </w:t>
      </w:r>
      <w:r w:rsidR="00891B26">
        <w:t xml:space="preserve">not </w:t>
      </w:r>
      <w:r w:rsidR="005C5428">
        <w:t xml:space="preserve">be </w:t>
      </w:r>
      <w:r w:rsidR="00EB5D4E">
        <w:t xml:space="preserve">used in the posttest calculations. </w:t>
      </w:r>
      <w:r>
        <w:t xml:space="preserve">The </w:t>
      </w:r>
      <w:r w:rsidR="00537977">
        <w:t>author</w:t>
      </w:r>
      <w:r>
        <w:t xml:space="preserve"> along with a librarian, not involved in teaching the students, </w:t>
      </w:r>
      <w:r w:rsidR="005C5428">
        <w:t xml:space="preserve">will </w:t>
      </w:r>
      <w:r>
        <w:t xml:space="preserve">assess the </w:t>
      </w:r>
      <w:r w:rsidR="00C3067D">
        <w:t>pre</w:t>
      </w:r>
      <w:r>
        <w:t>tests</w:t>
      </w:r>
      <w:r w:rsidR="00C3067D">
        <w:t xml:space="preserve"> and posttests</w:t>
      </w:r>
      <w:r>
        <w:t xml:space="preserve"> for correct responses. </w:t>
      </w:r>
      <w:r w:rsidR="006C531A">
        <w:t>SPSS s</w:t>
      </w:r>
      <w:r w:rsidR="003C61A4">
        <w:t xml:space="preserve">oftware </w:t>
      </w:r>
      <w:r w:rsidR="006C531A">
        <w:t xml:space="preserve">will be </w:t>
      </w:r>
      <w:r w:rsidR="003C61A4">
        <w:t xml:space="preserve">used to help analyze the data from the </w:t>
      </w:r>
      <w:r w:rsidR="006C531A">
        <w:t>tests</w:t>
      </w:r>
      <w:r w:rsidR="003C61A4">
        <w:t xml:space="preserve">. </w:t>
      </w:r>
      <w:r w:rsidR="009F3BA9">
        <w:t xml:space="preserve">The pretest scores </w:t>
      </w:r>
      <w:r w:rsidR="00B1404E">
        <w:t xml:space="preserve">and demographic data </w:t>
      </w:r>
      <w:r w:rsidR="009F3BA9">
        <w:t xml:space="preserve">along with </w:t>
      </w:r>
      <w:r w:rsidR="00D26362">
        <w:t>the mean</w:t>
      </w:r>
      <w:r w:rsidR="00C03038">
        <w:t>, standard deviation, and analysis of variance</w:t>
      </w:r>
      <w:r w:rsidR="00891B26">
        <w:t xml:space="preserve"> </w:t>
      </w:r>
      <w:r w:rsidR="005C5428">
        <w:t>will be</w:t>
      </w:r>
      <w:r w:rsidR="00891B26">
        <w:t xml:space="preserve"> used in the calculations of </w:t>
      </w:r>
      <w:r w:rsidR="00C03038">
        <w:t xml:space="preserve">posttest </w:t>
      </w:r>
      <w:r w:rsidR="0092218B">
        <w:t>performance</w:t>
      </w:r>
      <w:r w:rsidR="00B1404E">
        <w:t xml:space="preserve">. </w:t>
      </w:r>
      <w:r w:rsidR="00FD46ED">
        <w:t xml:space="preserve">Cohen’s </w:t>
      </w:r>
      <w:r w:rsidR="00FD46ED" w:rsidRPr="00B1404E">
        <w:rPr>
          <w:i/>
        </w:rPr>
        <w:t>d</w:t>
      </w:r>
      <w:r w:rsidR="00B1404E">
        <w:t xml:space="preserve"> </w:t>
      </w:r>
      <w:r w:rsidR="005C5428">
        <w:t>will be</w:t>
      </w:r>
      <w:r w:rsidR="00B1404E">
        <w:t xml:space="preserve"> used </w:t>
      </w:r>
      <w:r w:rsidR="00FD46ED" w:rsidRPr="00B1404E">
        <w:t>to</w:t>
      </w:r>
      <w:r w:rsidR="00FD46ED">
        <w:t xml:space="preserve"> measure </w:t>
      </w:r>
      <w:r w:rsidR="00C67992">
        <w:t xml:space="preserve">if </w:t>
      </w:r>
      <w:r w:rsidR="00FD46ED">
        <w:t>any effect sizes</w:t>
      </w:r>
      <w:r w:rsidR="00C67992">
        <w:t xml:space="preserve"> occurred</w:t>
      </w:r>
      <w:r w:rsidR="00FD46ED">
        <w:t xml:space="preserve"> </w:t>
      </w:r>
      <w:r w:rsidR="00C03038">
        <w:t xml:space="preserve">(Kiger et al., 2012). </w:t>
      </w:r>
      <w:r>
        <w:t xml:space="preserve">The </w:t>
      </w:r>
      <w:r w:rsidR="00537977">
        <w:t xml:space="preserve">author </w:t>
      </w:r>
      <w:r w:rsidR="005C5428">
        <w:t xml:space="preserve">will </w:t>
      </w:r>
      <w:r w:rsidR="00537977">
        <w:t xml:space="preserve">analyze the </w:t>
      </w:r>
      <w:r>
        <w:t>open-ended respon</w:t>
      </w:r>
      <w:r w:rsidR="00537977">
        <w:t xml:space="preserve">ses </w:t>
      </w:r>
      <w:r>
        <w:t>for similar r</w:t>
      </w:r>
      <w:r w:rsidR="005C5428">
        <w:t xml:space="preserve">esponses and overarching themes. </w:t>
      </w:r>
      <w:r w:rsidR="006C531A">
        <w:t>NVivo s</w:t>
      </w:r>
      <w:r w:rsidR="00537977">
        <w:t xml:space="preserve">oftware </w:t>
      </w:r>
      <w:r w:rsidR="006C531A">
        <w:t xml:space="preserve">will be </w:t>
      </w:r>
      <w:r w:rsidR="00537977">
        <w:t>used to assist in analyzing the open-ended responses.</w:t>
      </w:r>
    </w:p>
    <w:p w14:paraId="3A82184E" w14:textId="77777777" w:rsidR="004A206B" w:rsidRDefault="004A206B" w:rsidP="0014656E">
      <w:pPr>
        <w:jc w:val="center"/>
        <w:rPr>
          <w:b/>
        </w:rPr>
      </w:pPr>
      <w:r>
        <w:rPr>
          <w:b/>
        </w:rPr>
        <w:t>Anticipated Results</w:t>
      </w:r>
    </w:p>
    <w:p w14:paraId="3A82184F" w14:textId="77777777" w:rsidR="00172E28" w:rsidRPr="00172E28" w:rsidRDefault="00172E28" w:rsidP="00172E28">
      <w:r>
        <w:tab/>
      </w:r>
      <w:r w:rsidR="00F40A22">
        <w:t xml:space="preserve">The author expects that the results from this study will prove the null hypothesis in that posttest performance will show no significant differences between the two groups. The author believes that </w:t>
      </w:r>
      <w:r w:rsidR="00994C36">
        <w:t>GBL</w:t>
      </w:r>
      <w:r w:rsidR="00F40A22">
        <w:t xml:space="preserve"> will be as effective as </w:t>
      </w:r>
      <w:r w:rsidR="00994C36">
        <w:t>TI</w:t>
      </w:r>
      <w:r w:rsidR="00F40A22">
        <w:t xml:space="preserve"> </w:t>
      </w:r>
      <w:r w:rsidR="00A4369A">
        <w:t>in improving students’ knowledge of using library resources</w:t>
      </w:r>
      <w:r w:rsidR="002E4831">
        <w:t xml:space="preserve"> and that both groups</w:t>
      </w:r>
      <w:r w:rsidR="005E422D">
        <w:t>’</w:t>
      </w:r>
      <w:r w:rsidR="002E4831">
        <w:t xml:space="preserve"> posttest performance will be similar</w:t>
      </w:r>
      <w:r w:rsidR="00A4369A">
        <w:t>.</w:t>
      </w:r>
      <w:r w:rsidR="00926A88">
        <w:t xml:space="preserve"> Furthermore, the author believes that </w:t>
      </w:r>
      <w:r w:rsidR="002E4831">
        <w:t xml:space="preserve">the </w:t>
      </w:r>
      <w:r w:rsidR="00926A88">
        <w:t xml:space="preserve">students who attend the </w:t>
      </w:r>
      <w:r w:rsidR="00994C36">
        <w:t>GBL</w:t>
      </w:r>
      <w:r w:rsidR="00926A88">
        <w:t xml:space="preserve"> orientation will be more engaged throughout </w:t>
      </w:r>
      <w:r w:rsidR="002E5A51">
        <w:t>the session and that the open-ended responses for this group will yi</w:t>
      </w:r>
      <w:r w:rsidR="00A71FAD">
        <w:t>eld themes</w:t>
      </w:r>
      <w:r w:rsidR="002E5A51">
        <w:t xml:space="preserve"> indicative of greater satisfaction w</w:t>
      </w:r>
      <w:r w:rsidR="002E4831">
        <w:t>ith the library orientation</w:t>
      </w:r>
      <w:r w:rsidR="00870958">
        <w:t xml:space="preserve"> </w:t>
      </w:r>
      <w:r w:rsidR="002E4831">
        <w:t xml:space="preserve">and </w:t>
      </w:r>
      <w:r w:rsidR="00870958">
        <w:t xml:space="preserve">a more positive </w:t>
      </w:r>
      <w:r w:rsidR="002E4831">
        <w:t>view</w:t>
      </w:r>
      <w:r w:rsidR="00870958">
        <w:t xml:space="preserve"> of</w:t>
      </w:r>
      <w:r w:rsidR="002E4831">
        <w:t xml:space="preserve"> the </w:t>
      </w:r>
      <w:r w:rsidR="005E422D">
        <w:t>l</w:t>
      </w:r>
      <w:r w:rsidR="002E4831">
        <w:t xml:space="preserve">ibrary compared to the students who attend the </w:t>
      </w:r>
      <w:r w:rsidR="00994C36">
        <w:t>TI</w:t>
      </w:r>
      <w:r w:rsidR="002E4831">
        <w:t xml:space="preserve"> session. </w:t>
      </w:r>
    </w:p>
    <w:p w14:paraId="3A821850" w14:textId="77777777" w:rsidR="00A13E44" w:rsidRDefault="00EA4CA0" w:rsidP="0014656E">
      <w:pPr>
        <w:jc w:val="center"/>
        <w:rPr>
          <w:b/>
        </w:rPr>
      </w:pPr>
      <w:r>
        <w:rPr>
          <w:b/>
        </w:rPr>
        <w:t>Future Research</w:t>
      </w:r>
    </w:p>
    <w:p w14:paraId="3A821851" w14:textId="77777777" w:rsidR="00EA4CA0" w:rsidRPr="00EA4CA0" w:rsidRDefault="00EA4CA0" w:rsidP="00EA4CA0">
      <w:r>
        <w:tab/>
        <w:t>Future resea</w:t>
      </w:r>
      <w:r w:rsidR="0049672A">
        <w:t xml:space="preserve">rch concerned with </w:t>
      </w:r>
      <w:r>
        <w:t xml:space="preserve">library orientations that use </w:t>
      </w:r>
      <w:r w:rsidR="00994C36">
        <w:t>GBL</w:t>
      </w:r>
      <w:r>
        <w:t xml:space="preserve"> could focus</w:t>
      </w:r>
      <w:r w:rsidR="002620F6">
        <w:t xml:space="preserve"> on larger class sizes</w:t>
      </w:r>
      <w:r w:rsidR="00EA39D5">
        <w:t xml:space="preserve"> as this study </w:t>
      </w:r>
      <w:r w:rsidR="00317E68">
        <w:t>i</w:t>
      </w:r>
      <w:r w:rsidR="00EA39D5">
        <w:t>s limited to only</w:t>
      </w:r>
      <w:r w:rsidR="002620F6">
        <w:t xml:space="preserve"> two classes of thirty </w:t>
      </w:r>
      <w:r w:rsidR="001B7C8D">
        <w:t xml:space="preserve">business undergraduate </w:t>
      </w:r>
      <w:r w:rsidR="002620F6">
        <w:t xml:space="preserve">students </w:t>
      </w:r>
      <w:r w:rsidR="002620F6">
        <w:lastRenderedPageBreak/>
        <w:t xml:space="preserve">each. </w:t>
      </w:r>
      <w:r w:rsidR="00964D7A">
        <w:t>Additional research</w:t>
      </w:r>
      <w:r w:rsidR="00753E89">
        <w:t xml:space="preserve"> could be conducted using students from</w:t>
      </w:r>
      <w:r w:rsidR="00FA37DA">
        <w:t xml:space="preserve"> dif</w:t>
      </w:r>
      <w:r w:rsidR="00753E89">
        <w:t xml:space="preserve">ferent disciplines, </w:t>
      </w:r>
      <w:r w:rsidR="00A07FAF">
        <w:t>students from different age</w:t>
      </w:r>
      <w:r w:rsidR="00753E89">
        <w:t xml:space="preserve"> lev</w:t>
      </w:r>
      <w:r w:rsidR="00A07FAF">
        <w:t>els, including</w:t>
      </w:r>
      <w:r w:rsidR="00753E89">
        <w:t xml:space="preserve"> graduate</w:t>
      </w:r>
      <w:r w:rsidR="00D0175A">
        <w:t xml:space="preserve"> students, </w:t>
      </w:r>
      <w:r w:rsidR="00A07FAF">
        <w:t xml:space="preserve">and use different teachers for </w:t>
      </w:r>
      <w:r w:rsidR="00D0175A">
        <w:t xml:space="preserve">the orientations. The small sample size and similar discipline of study </w:t>
      </w:r>
      <w:r w:rsidR="009B41A8">
        <w:t>limits</w:t>
      </w:r>
      <w:r w:rsidR="00D0175A">
        <w:t xml:space="preserve"> generalizability of these results; however, the findings </w:t>
      </w:r>
      <w:r w:rsidR="00EA39D5">
        <w:t>will</w:t>
      </w:r>
      <w:r w:rsidR="00D0175A">
        <w:t xml:space="preserve"> demonstrate </w:t>
      </w:r>
      <w:r w:rsidR="001A271E">
        <w:t xml:space="preserve">the relevancy and power of </w:t>
      </w:r>
      <w:r w:rsidR="00994C36">
        <w:t>GBL</w:t>
      </w:r>
      <w:r w:rsidR="00D0175A">
        <w:t xml:space="preserve"> and should encourage other librarians to use this method in orientations.</w:t>
      </w:r>
    </w:p>
    <w:p w14:paraId="3A821852" w14:textId="77777777" w:rsidR="003027FD" w:rsidRPr="003027FD" w:rsidRDefault="003027FD" w:rsidP="003027FD">
      <w:r>
        <w:tab/>
      </w:r>
    </w:p>
    <w:p w14:paraId="3A821853" w14:textId="77777777" w:rsidR="004A206B" w:rsidRPr="00683164" w:rsidRDefault="004A206B" w:rsidP="0014656E">
      <w:pPr>
        <w:jc w:val="center"/>
        <w:rPr>
          <w:b/>
        </w:rPr>
      </w:pPr>
    </w:p>
    <w:p w14:paraId="3A821854" w14:textId="77777777" w:rsidR="00B7084F" w:rsidRDefault="00B7084F">
      <w:r>
        <w:br w:type="page"/>
      </w:r>
    </w:p>
    <w:p w14:paraId="3A821855" w14:textId="77777777" w:rsidR="009517F3" w:rsidRPr="003C5757" w:rsidRDefault="009517F3" w:rsidP="009517F3">
      <w:pPr>
        <w:jc w:val="center"/>
      </w:pPr>
      <w:r w:rsidRPr="003C5757">
        <w:lastRenderedPageBreak/>
        <w:t>References</w:t>
      </w:r>
    </w:p>
    <w:p w14:paraId="3A821856" w14:textId="77777777" w:rsidR="009517F3" w:rsidRDefault="009517F3" w:rsidP="009517F3">
      <w:pPr>
        <w:shd w:val="clear" w:color="auto" w:fill="FFFFFF"/>
        <w:rPr>
          <w:rFonts w:eastAsia="Times New Roman"/>
        </w:rPr>
      </w:pPr>
      <w:r w:rsidRPr="003C5757">
        <w:rPr>
          <w:rFonts w:eastAsia="Times New Roman"/>
        </w:rPr>
        <w:t xml:space="preserve">American Library Association. (2015). </w:t>
      </w:r>
      <w:r>
        <w:rPr>
          <w:rFonts w:eastAsia="Times New Roman"/>
        </w:rPr>
        <w:t xml:space="preserve">Information literacy competency standards for higher </w:t>
      </w:r>
    </w:p>
    <w:p w14:paraId="3A821857" w14:textId="77777777" w:rsidR="009517F3" w:rsidRDefault="009517F3" w:rsidP="009517F3">
      <w:pPr>
        <w:ind w:left="720"/>
        <w:rPr>
          <w:shd w:val="clear" w:color="auto" w:fill="FFFFFF"/>
        </w:rPr>
      </w:pPr>
      <w:r>
        <w:rPr>
          <w:rFonts w:eastAsia="Times New Roman"/>
        </w:rPr>
        <w:t>education</w:t>
      </w:r>
      <w:r w:rsidRPr="003C5757">
        <w:rPr>
          <w:rFonts w:eastAsia="Times New Roman"/>
        </w:rPr>
        <w:t xml:space="preserve">. </w:t>
      </w:r>
      <w:r w:rsidRPr="00E46B3A">
        <w:rPr>
          <w:rFonts w:eastAsia="Times New Roman"/>
          <w:i/>
        </w:rPr>
        <w:t>American Library Association</w:t>
      </w:r>
      <w:r w:rsidRPr="003C5757">
        <w:rPr>
          <w:rFonts w:eastAsia="Times New Roman"/>
        </w:rPr>
        <w:t xml:space="preserve">. Retrieved from </w:t>
      </w:r>
      <w:r w:rsidRPr="008C70B5">
        <w:rPr>
          <w:rFonts w:eastAsia="Times New Roman"/>
        </w:rPr>
        <w:t>http://www.ala.org/acrl/standards/informationliteracycompetency</w:t>
      </w:r>
    </w:p>
    <w:p w14:paraId="3A821858" w14:textId="77777777" w:rsidR="009517F3" w:rsidRDefault="009517F3" w:rsidP="009517F3">
      <w:pPr>
        <w:rPr>
          <w:shd w:val="clear" w:color="auto" w:fill="FFFFFF"/>
        </w:rPr>
      </w:pPr>
      <w:r w:rsidRPr="003C5757">
        <w:rPr>
          <w:shd w:val="clear" w:color="auto" w:fill="FFFFFF"/>
        </w:rPr>
        <w:t>de Kock, E. C. (2013).</w:t>
      </w:r>
      <w:r w:rsidRPr="003C5757">
        <w:rPr>
          <w:rStyle w:val="apple-converted-space"/>
          <w:shd w:val="clear" w:color="auto" w:fill="FFFFFF"/>
        </w:rPr>
        <w:t> </w:t>
      </w:r>
      <w:r w:rsidR="00994C36">
        <w:rPr>
          <w:i/>
          <w:iCs/>
          <w:shd w:val="clear" w:color="auto" w:fill="FFFFFF"/>
        </w:rPr>
        <w:t>GBL</w:t>
      </w:r>
      <w:r w:rsidRPr="003C5757">
        <w:rPr>
          <w:i/>
          <w:iCs/>
          <w:shd w:val="clear" w:color="auto" w:fill="FFFFFF"/>
        </w:rPr>
        <w:t xml:space="preserve"> and library instruction</w:t>
      </w:r>
      <w:r>
        <w:rPr>
          <w:i/>
          <w:iCs/>
          <w:shd w:val="clear" w:color="auto" w:fill="FFFFFF"/>
        </w:rPr>
        <w:t xml:space="preserve"> </w:t>
      </w:r>
      <w:r>
        <w:rPr>
          <w:iCs/>
          <w:shd w:val="clear" w:color="auto" w:fill="FFFFFF"/>
        </w:rPr>
        <w:t>(Master’s thesis)</w:t>
      </w:r>
      <w:r w:rsidRPr="003C5757">
        <w:rPr>
          <w:shd w:val="clear" w:color="auto" w:fill="FFFFFF"/>
        </w:rPr>
        <w:t xml:space="preserve">. </w:t>
      </w:r>
      <w:r>
        <w:rPr>
          <w:shd w:val="clear" w:color="auto" w:fill="FFFFFF"/>
        </w:rPr>
        <w:t>Retrieved</w:t>
      </w:r>
      <w:r w:rsidRPr="003C5757">
        <w:rPr>
          <w:shd w:val="clear" w:color="auto" w:fill="FFFFFF"/>
        </w:rPr>
        <w:t xml:space="preserve"> </w:t>
      </w:r>
    </w:p>
    <w:p w14:paraId="3A821859" w14:textId="77777777" w:rsidR="009517F3" w:rsidRPr="00BC1C2D" w:rsidRDefault="009517F3" w:rsidP="009517F3">
      <w:pPr>
        <w:ind w:firstLine="720"/>
        <w:rPr>
          <w:shd w:val="clear" w:color="auto" w:fill="FFFFFF"/>
        </w:rPr>
      </w:pPr>
      <w:r w:rsidRPr="003C5757">
        <w:rPr>
          <w:shd w:val="clear" w:color="auto" w:fill="FFFFFF"/>
        </w:rPr>
        <w:t>from ProQuest Dissertation</w:t>
      </w:r>
      <w:r>
        <w:rPr>
          <w:shd w:val="clear" w:color="auto" w:fill="FFFFFF"/>
        </w:rPr>
        <w:t>s &amp; Theses Global. (Accession No. 1703733510</w:t>
      </w:r>
      <w:r w:rsidRPr="003C5757">
        <w:rPr>
          <w:shd w:val="clear" w:color="auto" w:fill="FFFFFF"/>
        </w:rPr>
        <w:t>)</w:t>
      </w:r>
    </w:p>
    <w:p w14:paraId="3A82185A" w14:textId="77777777" w:rsidR="009517F3" w:rsidRDefault="009517F3" w:rsidP="009517F3">
      <w:pPr>
        <w:shd w:val="clear" w:color="auto" w:fill="FFFFFF"/>
        <w:rPr>
          <w:rFonts w:eastAsia="Times New Roman"/>
          <w:i/>
        </w:rPr>
      </w:pPr>
      <w:r w:rsidRPr="003C5757">
        <w:rPr>
          <w:rFonts w:eastAsia="Times New Roman"/>
        </w:rPr>
        <w:t>Gee, J. (2003). </w:t>
      </w:r>
      <w:r w:rsidRPr="00D07500">
        <w:rPr>
          <w:rFonts w:eastAsia="Times New Roman"/>
          <w:iCs/>
        </w:rPr>
        <w:t>What video games have to teach us about learning and literacy</w:t>
      </w:r>
      <w:r w:rsidR="00C92AF4">
        <w:rPr>
          <w:rFonts w:eastAsia="Times New Roman"/>
        </w:rPr>
        <w:t>.</w:t>
      </w:r>
      <w:r>
        <w:rPr>
          <w:rFonts w:eastAsia="Times New Roman"/>
        </w:rPr>
        <w:t xml:space="preserve"> </w:t>
      </w:r>
      <w:r w:rsidRPr="00D07500">
        <w:rPr>
          <w:rFonts w:eastAsia="Times New Roman"/>
          <w:i/>
        </w:rPr>
        <w:t xml:space="preserve">ACM Computers </w:t>
      </w:r>
    </w:p>
    <w:p w14:paraId="3A82185B" w14:textId="77777777" w:rsidR="009517F3" w:rsidRPr="003C5757" w:rsidRDefault="009517F3" w:rsidP="009517F3">
      <w:pPr>
        <w:shd w:val="clear" w:color="auto" w:fill="FFFFFF"/>
        <w:ind w:firstLine="720"/>
        <w:rPr>
          <w:rFonts w:eastAsia="Times New Roman"/>
        </w:rPr>
      </w:pPr>
      <w:r w:rsidRPr="00D07500">
        <w:rPr>
          <w:rFonts w:eastAsia="Times New Roman"/>
          <w:i/>
        </w:rPr>
        <w:t>in Education, 1</w:t>
      </w:r>
      <w:r>
        <w:rPr>
          <w:rFonts w:eastAsia="Times New Roman"/>
        </w:rPr>
        <w:t>(1)</w:t>
      </w:r>
      <w:r w:rsidRPr="003C5757">
        <w:rPr>
          <w:rFonts w:eastAsia="Times New Roman"/>
        </w:rPr>
        <w:t>. doi:10.1145/950566.950595</w:t>
      </w:r>
    </w:p>
    <w:p w14:paraId="3A82185C" w14:textId="77777777" w:rsidR="009517F3" w:rsidRDefault="009517F3" w:rsidP="009517F3">
      <w:pPr>
        <w:shd w:val="clear" w:color="auto" w:fill="FFFFFF"/>
        <w:rPr>
          <w:rFonts w:eastAsia="Times New Roman"/>
          <w:i/>
          <w:iCs/>
        </w:rPr>
      </w:pPr>
      <w:r w:rsidRPr="003C5757">
        <w:rPr>
          <w:rFonts w:eastAsia="Times New Roman"/>
        </w:rPr>
        <w:t>Gold, H. E. (2005). Engaging the adult learner: Creating effective library instruction.</w:t>
      </w:r>
      <w:r w:rsidRPr="003C5757">
        <w:rPr>
          <w:rFonts w:eastAsia="Times New Roman"/>
          <w:i/>
          <w:iCs/>
        </w:rPr>
        <w:t xml:space="preserve"> Portal: </w:t>
      </w:r>
    </w:p>
    <w:p w14:paraId="3A82185D" w14:textId="77777777" w:rsidR="009517F3" w:rsidRDefault="009517F3" w:rsidP="009517F3">
      <w:pPr>
        <w:ind w:firstLine="720"/>
      </w:pPr>
      <w:r w:rsidRPr="003C5757">
        <w:rPr>
          <w:rFonts w:eastAsia="Times New Roman"/>
          <w:i/>
          <w:iCs/>
        </w:rPr>
        <w:t>Libraries and the Academy, 5</w:t>
      </w:r>
      <w:r w:rsidRPr="003C5757">
        <w:rPr>
          <w:rFonts w:eastAsia="Times New Roman"/>
        </w:rPr>
        <w:t>, 467-481. doi:10.1353/pla.2005.0051</w:t>
      </w:r>
    </w:p>
    <w:p w14:paraId="3A82185E" w14:textId="77777777" w:rsidR="005D3016" w:rsidRDefault="005D3016" w:rsidP="009517F3">
      <w:pPr>
        <w:shd w:val="clear" w:color="auto" w:fill="FFFFFF"/>
      </w:pPr>
      <w:r w:rsidRPr="00632B67">
        <w:t xml:space="preserve">Kiger, D., Herro, D., &amp; Prunty, D. (2012). Examining the influence of a mobile learning </w:t>
      </w:r>
    </w:p>
    <w:p w14:paraId="3A82185F" w14:textId="77777777" w:rsidR="005D3016" w:rsidRDefault="005D3016" w:rsidP="005D3016">
      <w:pPr>
        <w:shd w:val="clear" w:color="auto" w:fill="FFFFFF"/>
        <w:ind w:firstLine="720"/>
        <w:rPr>
          <w:i/>
          <w:iCs/>
        </w:rPr>
      </w:pPr>
      <w:r w:rsidRPr="00632B67">
        <w:t>intervention on third grade math achievement.</w:t>
      </w:r>
      <w:r w:rsidRPr="00632B67">
        <w:rPr>
          <w:i/>
          <w:iCs/>
        </w:rPr>
        <w:t xml:space="preserve"> Journal of Research on Technology in </w:t>
      </w:r>
    </w:p>
    <w:p w14:paraId="3A821860" w14:textId="77777777" w:rsidR="005D3016" w:rsidRDefault="005D3016" w:rsidP="005D3016">
      <w:pPr>
        <w:shd w:val="clear" w:color="auto" w:fill="FFFFFF"/>
        <w:ind w:firstLine="720"/>
        <w:rPr>
          <w:rFonts w:eastAsia="Times New Roman"/>
        </w:rPr>
      </w:pPr>
      <w:r w:rsidRPr="00632B67">
        <w:rPr>
          <w:i/>
          <w:iCs/>
        </w:rPr>
        <w:t>Education, 45</w:t>
      </w:r>
      <w:r w:rsidRPr="00632B67">
        <w:t>(1), 61-82.</w:t>
      </w:r>
    </w:p>
    <w:p w14:paraId="3A821861" w14:textId="77777777" w:rsidR="009517F3" w:rsidRDefault="009517F3" w:rsidP="009517F3">
      <w:pPr>
        <w:shd w:val="clear" w:color="auto" w:fill="FFFFFF"/>
        <w:rPr>
          <w:rFonts w:eastAsia="Times New Roman"/>
        </w:rPr>
      </w:pPr>
      <w:r>
        <w:rPr>
          <w:rFonts w:eastAsia="Times New Roman"/>
        </w:rPr>
        <w:t xml:space="preserve">Lange, J. (2015). MBA versus MBA challenge: Developing an engaging library orientation for </w:t>
      </w:r>
    </w:p>
    <w:p w14:paraId="3A821862" w14:textId="77777777" w:rsidR="009517F3" w:rsidRDefault="009517F3" w:rsidP="009517F3">
      <w:pPr>
        <w:shd w:val="clear" w:color="auto" w:fill="FFFFFF"/>
        <w:ind w:firstLine="720"/>
        <w:rPr>
          <w:rFonts w:eastAsia="Times New Roman"/>
        </w:rPr>
      </w:pPr>
      <w:r>
        <w:rPr>
          <w:rFonts w:eastAsia="Times New Roman"/>
        </w:rPr>
        <w:t xml:space="preserve">incoming students. </w:t>
      </w:r>
      <w:r w:rsidRPr="00FB1656">
        <w:rPr>
          <w:rFonts w:eastAsia="Times New Roman"/>
          <w:i/>
        </w:rPr>
        <w:t>Ticker: The Academic Business Librarianship Review, 1</w:t>
      </w:r>
      <w:r>
        <w:rPr>
          <w:rFonts w:eastAsia="Times New Roman"/>
        </w:rPr>
        <w:t>(1), 16-18.</w:t>
      </w:r>
    </w:p>
    <w:p w14:paraId="3A821863" w14:textId="77777777" w:rsidR="009517F3" w:rsidRDefault="009517F3" w:rsidP="00937F6D">
      <w:pPr>
        <w:shd w:val="clear" w:color="auto" w:fill="FFFFFF"/>
        <w:rPr>
          <w:rFonts w:eastAsia="Times New Roman"/>
        </w:rPr>
      </w:pPr>
      <w:r w:rsidRPr="003C5757">
        <w:rPr>
          <w:rFonts w:eastAsia="Times New Roman"/>
        </w:rPr>
        <w:t xml:space="preserve">Leach, G. J., &amp; Sugarman, T. S. (2005). Play to win! Using games in library instruction to </w:t>
      </w:r>
    </w:p>
    <w:p w14:paraId="3A821864" w14:textId="77777777" w:rsidR="009517F3" w:rsidRPr="004C28B3" w:rsidRDefault="009517F3" w:rsidP="00937F6D">
      <w:pPr>
        <w:shd w:val="clear" w:color="auto" w:fill="FFFFFF"/>
        <w:ind w:left="720"/>
        <w:rPr>
          <w:rFonts w:eastAsia="Times New Roman"/>
        </w:rPr>
      </w:pPr>
      <w:r w:rsidRPr="003C5757">
        <w:rPr>
          <w:rFonts w:eastAsia="Times New Roman"/>
        </w:rPr>
        <w:t xml:space="preserve">enhance student learning. </w:t>
      </w:r>
      <w:r w:rsidRPr="003C5757">
        <w:rPr>
          <w:rFonts w:eastAsia="Times New Roman"/>
          <w:i/>
          <w:iCs/>
        </w:rPr>
        <w:t>Research Strategies, 20</w:t>
      </w:r>
      <w:r w:rsidR="000C5AE7">
        <w:rPr>
          <w:rFonts w:eastAsia="Times New Roman"/>
        </w:rPr>
        <w:t xml:space="preserve">, 191-203. </w:t>
      </w:r>
      <w:r w:rsidRPr="003C5757">
        <w:rPr>
          <w:rFonts w:eastAsia="Times New Roman"/>
        </w:rPr>
        <w:t>doi:10.1016/j.resstr.2006.05.002</w:t>
      </w:r>
    </w:p>
    <w:p w14:paraId="3A821865" w14:textId="77777777" w:rsidR="009517F3" w:rsidRDefault="009517F3" w:rsidP="009517F3">
      <w:r>
        <w:t>Mayer, R. E., &amp;</w:t>
      </w:r>
      <w:r w:rsidRPr="003C5757">
        <w:t xml:space="preserve"> Johnson</w:t>
      </w:r>
      <w:r>
        <w:t>,</w:t>
      </w:r>
      <w:r w:rsidRPr="003C5757">
        <w:t xml:space="preserve"> C</w:t>
      </w:r>
      <w:r>
        <w:t xml:space="preserve">. </w:t>
      </w:r>
      <w:r w:rsidRPr="003C5757">
        <w:t>I</w:t>
      </w:r>
      <w:r>
        <w:t>.</w:t>
      </w:r>
      <w:r w:rsidRPr="003C5757">
        <w:t xml:space="preserve"> (2010)</w:t>
      </w:r>
      <w:r>
        <w:t>.</w:t>
      </w:r>
      <w:r w:rsidRPr="003C5757">
        <w:t xml:space="preserve"> Adding instructional features that promote learning in a </w:t>
      </w:r>
    </w:p>
    <w:p w14:paraId="3A821866" w14:textId="77777777" w:rsidR="009517F3" w:rsidRDefault="009517F3" w:rsidP="009517F3">
      <w:pPr>
        <w:shd w:val="clear" w:color="auto" w:fill="FFFFFF"/>
        <w:ind w:firstLine="720"/>
        <w:rPr>
          <w:rFonts w:eastAsia="Times New Roman"/>
        </w:rPr>
      </w:pPr>
      <w:r w:rsidRPr="003C5757">
        <w:t xml:space="preserve">game-like </w:t>
      </w:r>
      <w:r>
        <w:t xml:space="preserve">environment. </w:t>
      </w:r>
      <w:r w:rsidRPr="000B4B70">
        <w:rPr>
          <w:i/>
        </w:rPr>
        <w:t>Journal of Educational Computing Research, 42</w:t>
      </w:r>
      <w:r>
        <w:t xml:space="preserve">, </w:t>
      </w:r>
      <w:r w:rsidRPr="003C5757">
        <w:t>241–265</w:t>
      </w:r>
      <w:r>
        <w:t>.</w:t>
      </w:r>
    </w:p>
    <w:p w14:paraId="3A821867" w14:textId="77777777" w:rsidR="009517F3" w:rsidRDefault="009517F3" w:rsidP="009517F3">
      <w:pPr>
        <w:shd w:val="clear" w:color="auto" w:fill="FFFFFF"/>
        <w:rPr>
          <w:rFonts w:eastAsia="Times New Roman"/>
          <w:i/>
          <w:iCs/>
        </w:rPr>
      </w:pPr>
      <w:r w:rsidRPr="003C5757">
        <w:rPr>
          <w:rFonts w:eastAsia="Times New Roman"/>
          <w:iCs/>
        </w:rPr>
        <w:t>New Media Consortium. (2014). Games and gamification.</w:t>
      </w:r>
      <w:r w:rsidRPr="003C5757">
        <w:rPr>
          <w:rFonts w:eastAsia="Times New Roman"/>
          <w:i/>
          <w:iCs/>
        </w:rPr>
        <w:t xml:space="preserve"> </w:t>
      </w:r>
      <w:r w:rsidR="00C92AF4" w:rsidRPr="00C92AF4">
        <w:rPr>
          <w:rFonts w:eastAsia="Times New Roman"/>
          <w:iCs/>
        </w:rPr>
        <w:t>In</w:t>
      </w:r>
      <w:r w:rsidR="00C92AF4">
        <w:rPr>
          <w:rFonts w:eastAsia="Times New Roman"/>
          <w:i/>
          <w:iCs/>
        </w:rPr>
        <w:t xml:space="preserve"> </w:t>
      </w:r>
      <w:r w:rsidRPr="003C5757">
        <w:rPr>
          <w:rFonts w:eastAsia="Times New Roman"/>
          <w:i/>
          <w:iCs/>
        </w:rPr>
        <w:t xml:space="preserve">NMC </w:t>
      </w:r>
      <w:r>
        <w:rPr>
          <w:rFonts w:eastAsia="Times New Roman"/>
          <w:i/>
          <w:iCs/>
        </w:rPr>
        <w:t xml:space="preserve">Horizon report: </w:t>
      </w:r>
      <w:r w:rsidRPr="003C5757">
        <w:rPr>
          <w:rFonts w:eastAsia="Times New Roman"/>
          <w:i/>
          <w:iCs/>
        </w:rPr>
        <w:t>201</w:t>
      </w:r>
      <w:r>
        <w:rPr>
          <w:rFonts w:eastAsia="Times New Roman"/>
          <w:i/>
          <w:iCs/>
        </w:rPr>
        <w:t xml:space="preserve">4 </w:t>
      </w:r>
      <w:r w:rsidRPr="003C5757">
        <w:rPr>
          <w:rFonts w:eastAsia="Times New Roman"/>
          <w:i/>
          <w:iCs/>
        </w:rPr>
        <w:t xml:space="preserve">Higher </w:t>
      </w:r>
    </w:p>
    <w:p w14:paraId="3A821868" w14:textId="77777777" w:rsidR="009517F3" w:rsidRDefault="009517F3" w:rsidP="009517F3">
      <w:pPr>
        <w:shd w:val="clear" w:color="auto" w:fill="FFFFFF"/>
        <w:ind w:left="720"/>
        <w:rPr>
          <w:rFonts w:eastAsia="Times New Roman"/>
        </w:rPr>
      </w:pPr>
      <w:r w:rsidRPr="003C5757">
        <w:rPr>
          <w:rFonts w:eastAsia="Times New Roman"/>
          <w:i/>
          <w:iCs/>
        </w:rPr>
        <w:t xml:space="preserve">education edition. </w:t>
      </w:r>
      <w:r w:rsidRPr="003C5757">
        <w:rPr>
          <w:rFonts w:eastAsia="Times New Roman"/>
        </w:rPr>
        <w:t xml:space="preserve">Retrieved from </w:t>
      </w:r>
      <w:r w:rsidRPr="00505DB6">
        <w:rPr>
          <w:rFonts w:eastAsia="Times New Roman"/>
        </w:rPr>
        <w:t>http://www.nmc.org/publication/nmc-horizon-report-</w:t>
      </w:r>
      <w:r w:rsidRPr="003C5757">
        <w:rPr>
          <w:rFonts w:eastAsia="Times New Roman"/>
        </w:rPr>
        <w:t>2014-higher-education-edition/</w:t>
      </w:r>
    </w:p>
    <w:p w14:paraId="3A821869" w14:textId="77777777" w:rsidR="009517F3" w:rsidRPr="00FB604A" w:rsidRDefault="009517F3" w:rsidP="009517F3">
      <w:pPr>
        <w:shd w:val="clear" w:color="auto" w:fill="FFFFFF"/>
        <w:rPr>
          <w:rFonts w:eastAsia="Times New Roman"/>
          <w:i/>
        </w:rPr>
      </w:pPr>
      <w:r>
        <w:rPr>
          <w:rFonts w:eastAsia="Times New Roman"/>
        </w:rPr>
        <w:lastRenderedPageBreak/>
        <w:t>Oblinger, D. G. (2004). The next generation of educational e</w:t>
      </w:r>
      <w:r w:rsidRPr="003C5757">
        <w:rPr>
          <w:rFonts w:eastAsia="Times New Roman"/>
        </w:rPr>
        <w:t xml:space="preserve">ngagement. </w:t>
      </w:r>
      <w:r w:rsidRPr="00FB604A">
        <w:rPr>
          <w:rFonts w:eastAsia="Times New Roman"/>
          <w:i/>
        </w:rPr>
        <w:t xml:space="preserve">Journal of Interactive </w:t>
      </w:r>
    </w:p>
    <w:p w14:paraId="3A82186A" w14:textId="77777777" w:rsidR="009517F3" w:rsidRDefault="009517F3" w:rsidP="009517F3">
      <w:pPr>
        <w:shd w:val="clear" w:color="auto" w:fill="FFFFFF"/>
        <w:ind w:firstLine="720"/>
        <w:rPr>
          <w:rFonts w:eastAsia="Times New Roman"/>
        </w:rPr>
      </w:pPr>
      <w:r w:rsidRPr="00FB604A">
        <w:rPr>
          <w:rFonts w:eastAsia="Times New Roman"/>
          <w:i/>
        </w:rPr>
        <w:t>Media in Education, </w:t>
      </w:r>
      <w:r w:rsidRPr="00B91A6C">
        <w:rPr>
          <w:rFonts w:eastAsia="Times New Roman"/>
          <w:i/>
        </w:rPr>
        <w:t>2004</w:t>
      </w:r>
      <w:r>
        <w:rPr>
          <w:rFonts w:eastAsia="Times New Roman"/>
        </w:rPr>
        <w:t>(</w:t>
      </w:r>
      <w:r w:rsidRPr="00B91A6C">
        <w:rPr>
          <w:rFonts w:eastAsia="Times New Roman"/>
          <w:iCs/>
        </w:rPr>
        <w:t>8</w:t>
      </w:r>
      <w:r>
        <w:rPr>
          <w:rFonts w:eastAsia="Times New Roman"/>
          <w:iCs/>
        </w:rPr>
        <w:t>)</w:t>
      </w:r>
      <w:r>
        <w:rPr>
          <w:rFonts w:eastAsia="Times New Roman"/>
        </w:rPr>
        <w:t xml:space="preserve">, 1-18. </w:t>
      </w:r>
      <w:r w:rsidRPr="003C5757">
        <w:rPr>
          <w:rFonts w:eastAsia="Times New Roman"/>
        </w:rPr>
        <w:t>http://doi.org/10.5334/2004-8-oblinger</w:t>
      </w:r>
    </w:p>
    <w:p w14:paraId="3A82186B" w14:textId="77777777" w:rsidR="000C5AE7" w:rsidRDefault="009517F3" w:rsidP="000C5AE7">
      <w:pPr>
        <w:shd w:val="clear" w:color="auto" w:fill="FFFFFF"/>
        <w:rPr>
          <w:rFonts w:eastAsia="Times New Roman"/>
        </w:rPr>
      </w:pPr>
      <w:r w:rsidRPr="003C5757">
        <w:rPr>
          <w:rFonts w:eastAsia="Times New Roman"/>
        </w:rPr>
        <w:t>Prensky, M. (2003). </w:t>
      </w:r>
      <w:r w:rsidRPr="00D07500">
        <w:rPr>
          <w:rFonts w:eastAsia="Times New Roman"/>
          <w:iCs/>
        </w:rPr>
        <w:t xml:space="preserve">Digital </w:t>
      </w:r>
      <w:r w:rsidR="00C92AF4">
        <w:rPr>
          <w:rFonts w:eastAsia="Times New Roman"/>
          <w:iCs/>
        </w:rPr>
        <w:t>game-based learning</w:t>
      </w:r>
      <w:r w:rsidRPr="003C5757">
        <w:rPr>
          <w:rFonts w:eastAsia="Times New Roman"/>
        </w:rPr>
        <w:t xml:space="preserve">. </w:t>
      </w:r>
      <w:r w:rsidRPr="00D07500">
        <w:rPr>
          <w:rFonts w:eastAsia="Times New Roman"/>
          <w:i/>
        </w:rPr>
        <w:t>ACM Computers in Education, 1</w:t>
      </w:r>
      <w:r>
        <w:rPr>
          <w:rFonts w:eastAsia="Times New Roman"/>
        </w:rPr>
        <w:t xml:space="preserve">(1). </w:t>
      </w:r>
    </w:p>
    <w:p w14:paraId="3A82186C" w14:textId="77777777" w:rsidR="009517F3" w:rsidRPr="009517F3" w:rsidRDefault="009517F3" w:rsidP="000C5AE7">
      <w:pPr>
        <w:shd w:val="clear" w:color="auto" w:fill="FFFFFF"/>
        <w:ind w:firstLine="720"/>
        <w:rPr>
          <w:rFonts w:eastAsia="Times New Roman"/>
          <w:i/>
        </w:rPr>
      </w:pPr>
      <w:r w:rsidRPr="003C5757">
        <w:rPr>
          <w:rFonts w:eastAsia="Times New Roman"/>
        </w:rPr>
        <w:t>doi:10.1145/950566.950596</w:t>
      </w:r>
    </w:p>
    <w:p w14:paraId="3A82186D" w14:textId="77777777" w:rsidR="009517F3" w:rsidRDefault="009517F3" w:rsidP="009517F3">
      <w:pPr>
        <w:shd w:val="clear" w:color="auto" w:fill="FFFFFF"/>
        <w:rPr>
          <w:shd w:val="clear" w:color="auto" w:fill="FFFFFF"/>
        </w:rPr>
      </w:pPr>
      <w:r w:rsidRPr="003C5757">
        <w:rPr>
          <w:shd w:val="clear" w:color="auto" w:fill="FFFFFF"/>
        </w:rPr>
        <w:t>Shaffer, D. W., Squire, K. R</w:t>
      </w:r>
      <w:r>
        <w:rPr>
          <w:shd w:val="clear" w:color="auto" w:fill="FFFFFF"/>
        </w:rPr>
        <w:t>., Halverson, R., &amp; Gee, J. P. (2005). Video games and the f</w:t>
      </w:r>
      <w:r w:rsidRPr="003C5757">
        <w:rPr>
          <w:shd w:val="clear" w:color="auto" w:fill="FFFFFF"/>
        </w:rPr>
        <w:t xml:space="preserve">uture </w:t>
      </w:r>
    </w:p>
    <w:p w14:paraId="3A82186E" w14:textId="77777777" w:rsidR="009517F3" w:rsidRPr="004C28B3" w:rsidRDefault="009517F3" w:rsidP="009517F3">
      <w:pPr>
        <w:shd w:val="clear" w:color="auto" w:fill="FFFFFF"/>
        <w:ind w:firstLine="720"/>
        <w:rPr>
          <w:shd w:val="clear" w:color="auto" w:fill="FFFFFF"/>
        </w:rPr>
      </w:pPr>
      <w:r>
        <w:rPr>
          <w:shd w:val="clear" w:color="auto" w:fill="FFFFFF"/>
        </w:rPr>
        <w:t>of l</w:t>
      </w:r>
      <w:r w:rsidRPr="003C5757">
        <w:rPr>
          <w:shd w:val="clear" w:color="auto" w:fill="FFFFFF"/>
        </w:rPr>
        <w:t>earning.</w:t>
      </w:r>
      <w:r w:rsidRPr="003C5757">
        <w:rPr>
          <w:rStyle w:val="apple-converted-space"/>
          <w:shd w:val="clear" w:color="auto" w:fill="FFFFFF"/>
        </w:rPr>
        <w:t> </w:t>
      </w:r>
      <w:r w:rsidRPr="003C5757">
        <w:rPr>
          <w:i/>
          <w:iCs/>
          <w:shd w:val="clear" w:color="auto" w:fill="FFFFFF"/>
        </w:rPr>
        <w:t>The Phi Delta Kappan</w:t>
      </w:r>
      <w:r w:rsidRPr="003C5757">
        <w:rPr>
          <w:shd w:val="clear" w:color="auto" w:fill="FFFFFF"/>
        </w:rPr>
        <w:t>,</w:t>
      </w:r>
      <w:r w:rsidRPr="003C5757">
        <w:rPr>
          <w:rStyle w:val="apple-converted-space"/>
          <w:shd w:val="clear" w:color="auto" w:fill="FFFFFF"/>
        </w:rPr>
        <w:t> </w:t>
      </w:r>
      <w:r w:rsidRPr="003C5757">
        <w:rPr>
          <w:i/>
          <w:iCs/>
          <w:shd w:val="clear" w:color="auto" w:fill="FFFFFF"/>
        </w:rPr>
        <w:t>87</w:t>
      </w:r>
      <w:r w:rsidR="00E15738" w:rsidRPr="00E15738">
        <w:rPr>
          <w:iCs/>
          <w:shd w:val="clear" w:color="auto" w:fill="FFFFFF"/>
        </w:rPr>
        <w:t>(2)</w:t>
      </w:r>
      <w:r w:rsidRPr="00E15738">
        <w:rPr>
          <w:shd w:val="clear" w:color="auto" w:fill="FFFFFF"/>
        </w:rPr>
        <w:t>,</w:t>
      </w:r>
      <w:r w:rsidRPr="003C5757">
        <w:rPr>
          <w:shd w:val="clear" w:color="auto" w:fill="FFFFFF"/>
        </w:rPr>
        <w:t xml:space="preserve"> 104–111. </w:t>
      </w:r>
      <w:r>
        <w:rPr>
          <w:rFonts w:eastAsia="Times New Roman"/>
        </w:rPr>
        <w:t xml:space="preserve"> </w:t>
      </w:r>
    </w:p>
    <w:p w14:paraId="3A82186F" w14:textId="77777777" w:rsidR="009517F3" w:rsidRPr="005971C8" w:rsidRDefault="009517F3" w:rsidP="009517F3">
      <w:pPr>
        <w:shd w:val="clear" w:color="auto" w:fill="FFFFFF"/>
        <w:rPr>
          <w:rFonts w:eastAsia="Times New Roman"/>
          <w:i/>
        </w:rPr>
      </w:pPr>
      <w:r>
        <w:rPr>
          <w:rFonts w:eastAsia="Times New Roman"/>
        </w:rPr>
        <w:t xml:space="preserve">Smith, F. A. (2007). Games for teaching information literacy skills. </w:t>
      </w:r>
      <w:r w:rsidRPr="005971C8">
        <w:rPr>
          <w:rFonts w:eastAsia="Times New Roman"/>
          <w:i/>
        </w:rPr>
        <w:t xml:space="preserve">Library Philosophy and </w:t>
      </w:r>
    </w:p>
    <w:p w14:paraId="3A821870" w14:textId="77777777" w:rsidR="009517F3" w:rsidRPr="003C5757" w:rsidRDefault="009517F3" w:rsidP="009517F3">
      <w:pPr>
        <w:shd w:val="clear" w:color="auto" w:fill="FFFFFF"/>
        <w:ind w:left="720"/>
        <w:rPr>
          <w:rFonts w:eastAsia="Times New Roman"/>
        </w:rPr>
      </w:pPr>
      <w:r w:rsidRPr="005971C8">
        <w:rPr>
          <w:rFonts w:eastAsia="Times New Roman"/>
          <w:i/>
        </w:rPr>
        <w:t>Practice</w:t>
      </w:r>
      <w:r>
        <w:rPr>
          <w:rFonts w:eastAsia="Times New Roman"/>
          <w:i/>
        </w:rPr>
        <w:t xml:space="preserve"> (e-journal)</w:t>
      </w:r>
      <w:r w:rsidRPr="005971C8">
        <w:rPr>
          <w:rFonts w:eastAsia="Times New Roman"/>
          <w:i/>
        </w:rPr>
        <w:t>, 117</w:t>
      </w:r>
      <w:r>
        <w:rPr>
          <w:rFonts w:eastAsia="Times New Roman"/>
        </w:rPr>
        <w:t>, 1-12. Retrieved from http://digitalcommons.unl.edu/libphilprac/117</w:t>
      </w:r>
    </w:p>
    <w:p w14:paraId="3A821871" w14:textId="77777777" w:rsidR="009517F3" w:rsidRPr="003C5757" w:rsidRDefault="009517F3" w:rsidP="009517F3">
      <w:pPr>
        <w:shd w:val="clear" w:color="auto" w:fill="FFFFFF"/>
        <w:spacing w:before="100" w:beforeAutospacing="1" w:after="100" w:afterAutospacing="1" w:line="293" w:lineRule="atLeast"/>
        <w:rPr>
          <w:rFonts w:ascii="Helvetica" w:eastAsia="Times New Roman" w:hAnsi="Helvetica" w:cs="Helvetica"/>
          <w:sz w:val="20"/>
        </w:rPr>
      </w:pPr>
    </w:p>
    <w:p w14:paraId="3A821872" w14:textId="77777777" w:rsidR="009517F3" w:rsidRPr="003C5757" w:rsidRDefault="009517F3" w:rsidP="009517F3">
      <w:pPr>
        <w:shd w:val="clear" w:color="auto" w:fill="FFFFFF"/>
        <w:spacing w:before="100" w:beforeAutospacing="1" w:after="100" w:afterAutospacing="1" w:line="293" w:lineRule="atLeast"/>
        <w:rPr>
          <w:rFonts w:ascii="Helvetica" w:eastAsia="Times New Roman" w:hAnsi="Helvetica" w:cs="Helvetica"/>
          <w:sz w:val="20"/>
        </w:rPr>
      </w:pPr>
    </w:p>
    <w:p w14:paraId="3A821873" w14:textId="77777777" w:rsidR="009517F3" w:rsidRPr="003C5757" w:rsidRDefault="009517F3" w:rsidP="009517F3"/>
    <w:p w14:paraId="3A821874" w14:textId="77777777" w:rsidR="00B7084F" w:rsidRPr="003C5757" w:rsidRDefault="00B7084F" w:rsidP="00B7084F">
      <w:pPr>
        <w:shd w:val="clear" w:color="auto" w:fill="FFFFFF"/>
        <w:spacing w:before="100" w:beforeAutospacing="1" w:after="100" w:afterAutospacing="1" w:line="293" w:lineRule="atLeast"/>
        <w:rPr>
          <w:rFonts w:ascii="Helvetica" w:eastAsia="Times New Roman" w:hAnsi="Helvetica" w:cs="Helvetica"/>
          <w:sz w:val="20"/>
        </w:rPr>
      </w:pPr>
    </w:p>
    <w:p w14:paraId="3A821875" w14:textId="77777777" w:rsidR="00B7084F" w:rsidRPr="003C5757" w:rsidRDefault="00B7084F" w:rsidP="00B7084F">
      <w:pPr>
        <w:shd w:val="clear" w:color="auto" w:fill="FFFFFF"/>
        <w:spacing w:before="100" w:beforeAutospacing="1" w:after="100" w:afterAutospacing="1" w:line="293" w:lineRule="atLeast"/>
        <w:rPr>
          <w:rFonts w:ascii="Helvetica" w:eastAsia="Times New Roman" w:hAnsi="Helvetica" w:cs="Helvetica"/>
          <w:sz w:val="20"/>
        </w:rPr>
      </w:pPr>
    </w:p>
    <w:p w14:paraId="3A821876" w14:textId="77777777" w:rsidR="00B7084F" w:rsidRPr="003C5757" w:rsidRDefault="00B7084F" w:rsidP="00B7084F"/>
    <w:p w14:paraId="3A821877" w14:textId="77777777" w:rsidR="00E04DAA" w:rsidRDefault="00E04DAA" w:rsidP="00E04DAA"/>
    <w:p w14:paraId="3A821878" w14:textId="77777777" w:rsidR="0023609E" w:rsidRDefault="0023609E"/>
    <w:p w14:paraId="3A821879" w14:textId="77777777" w:rsidR="0023609E" w:rsidRDefault="0023609E"/>
    <w:p w14:paraId="3A82187A" w14:textId="77777777" w:rsidR="0023609E" w:rsidRDefault="0023609E"/>
    <w:p w14:paraId="3A82187B" w14:textId="77777777" w:rsidR="0023609E" w:rsidRDefault="0023609E"/>
    <w:p w14:paraId="3A82187C" w14:textId="77777777" w:rsidR="0023609E" w:rsidRDefault="0023609E"/>
    <w:p w14:paraId="3A82187D" w14:textId="77777777" w:rsidR="0023609E" w:rsidRDefault="0023609E"/>
    <w:sectPr w:rsidR="0023609E" w:rsidSect="0053050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1880" w14:textId="77777777" w:rsidR="00CC47D3" w:rsidRDefault="00CC47D3" w:rsidP="008617E5">
      <w:pPr>
        <w:spacing w:line="240" w:lineRule="auto"/>
      </w:pPr>
      <w:r>
        <w:separator/>
      </w:r>
    </w:p>
  </w:endnote>
  <w:endnote w:type="continuationSeparator" w:id="0">
    <w:p w14:paraId="3A821881" w14:textId="77777777" w:rsidR="00CC47D3" w:rsidRDefault="00CC47D3" w:rsidP="00861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187E" w14:textId="77777777" w:rsidR="00CC47D3" w:rsidRDefault="00CC47D3" w:rsidP="008617E5">
      <w:pPr>
        <w:spacing w:line="240" w:lineRule="auto"/>
      </w:pPr>
      <w:r>
        <w:separator/>
      </w:r>
    </w:p>
  </w:footnote>
  <w:footnote w:type="continuationSeparator" w:id="0">
    <w:p w14:paraId="3A82187F" w14:textId="77777777" w:rsidR="00CC47D3" w:rsidRDefault="00CC47D3" w:rsidP="00861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69812"/>
      <w:docPartObj>
        <w:docPartGallery w:val="Page Numbers (Top of Page)"/>
        <w:docPartUnique/>
      </w:docPartObj>
    </w:sdtPr>
    <w:sdtEndPr>
      <w:rPr>
        <w:noProof/>
      </w:rPr>
    </w:sdtEndPr>
    <w:sdtContent>
      <w:p w14:paraId="3A821882" w14:textId="6E3A6325" w:rsidR="00994C36" w:rsidRDefault="00994C36" w:rsidP="00F91D2F">
        <w:pPr>
          <w:pStyle w:val="Header"/>
        </w:pPr>
        <w:r>
          <w:t xml:space="preserve">NOT ANOTHER BORING                                                   </w:t>
        </w:r>
        <w:r w:rsidR="00F91D2F">
          <w:t xml:space="preserve">                               </w:t>
        </w:r>
        <w:r>
          <w:fldChar w:fldCharType="begin"/>
        </w:r>
        <w:r>
          <w:instrText xml:space="preserve"> PAGE   \* MERGEFORMAT </w:instrText>
        </w:r>
        <w:r>
          <w:fldChar w:fldCharType="separate"/>
        </w:r>
        <w:r w:rsidR="00795FE1">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1883" w14:textId="77777777" w:rsidR="00994C36" w:rsidRDefault="00994C36">
    <w:pPr>
      <w:pStyle w:val="Header"/>
    </w:pPr>
    <w:r>
      <w:t>Running head: NOT ANOTHER BORING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673"/>
    <w:multiLevelType w:val="hybridMultilevel"/>
    <w:tmpl w:val="9A4C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7F2607"/>
    <w:multiLevelType w:val="hybridMultilevel"/>
    <w:tmpl w:val="4B0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51E4E"/>
    <w:multiLevelType w:val="hybridMultilevel"/>
    <w:tmpl w:val="94A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5"/>
    <w:rsid w:val="0000062B"/>
    <w:rsid w:val="00006149"/>
    <w:rsid w:val="00013D5F"/>
    <w:rsid w:val="000217CB"/>
    <w:rsid w:val="00024C23"/>
    <w:rsid w:val="00031B78"/>
    <w:rsid w:val="000355A5"/>
    <w:rsid w:val="0003720C"/>
    <w:rsid w:val="00042825"/>
    <w:rsid w:val="00044C59"/>
    <w:rsid w:val="00047393"/>
    <w:rsid w:val="000503A8"/>
    <w:rsid w:val="00050B8E"/>
    <w:rsid w:val="000621FA"/>
    <w:rsid w:val="00062D2D"/>
    <w:rsid w:val="0007714D"/>
    <w:rsid w:val="0007799A"/>
    <w:rsid w:val="00080B7A"/>
    <w:rsid w:val="00084124"/>
    <w:rsid w:val="000A01E1"/>
    <w:rsid w:val="000A1E90"/>
    <w:rsid w:val="000B4F4F"/>
    <w:rsid w:val="000B7D2A"/>
    <w:rsid w:val="000C0645"/>
    <w:rsid w:val="000C5AE7"/>
    <w:rsid w:val="000D0EB9"/>
    <w:rsid w:val="000D49A9"/>
    <w:rsid w:val="000D4E68"/>
    <w:rsid w:val="000D7263"/>
    <w:rsid w:val="000E02B0"/>
    <w:rsid w:val="000E0F1B"/>
    <w:rsid w:val="000E1CC8"/>
    <w:rsid w:val="000F7338"/>
    <w:rsid w:val="0010063F"/>
    <w:rsid w:val="001021DC"/>
    <w:rsid w:val="001024C8"/>
    <w:rsid w:val="00114DCA"/>
    <w:rsid w:val="00116FAE"/>
    <w:rsid w:val="00121627"/>
    <w:rsid w:val="001243CA"/>
    <w:rsid w:val="001405E7"/>
    <w:rsid w:val="001456C4"/>
    <w:rsid w:val="0014656E"/>
    <w:rsid w:val="00146F0B"/>
    <w:rsid w:val="001523DB"/>
    <w:rsid w:val="00152866"/>
    <w:rsid w:val="00155989"/>
    <w:rsid w:val="001569D6"/>
    <w:rsid w:val="001602A4"/>
    <w:rsid w:val="00162BC5"/>
    <w:rsid w:val="00172E28"/>
    <w:rsid w:val="00174599"/>
    <w:rsid w:val="001A271E"/>
    <w:rsid w:val="001A3274"/>
    <w:rsid w:val="001B6E8B"/>
    <w:rsid w:val="001B7AAD"/>
    <w:rsid w:val="001B7C8D"/>
    <w:rsid w:val="001D0B90"/>
    <w:rsid w:val="001E29C9"/>
    <w:rsid w:val="001F00FC"/>
    <w:rsid w:val="001F05AC"/>
    <w:rsid w:val="001F4E4E"/>
    <w:rsid w:val="00200299"/>
    <w:rsid w:val="002025FE"/>
    <w:rsid w:val="00204FD4"/>
    <w:rsid w:val="00217C75"/>
    <w:rsid w:val="0023609E"/>
    <w:rsid w:val="00240534"/>
    <w:rsid w:val="00242795"/>
    <w:rsid w:val="0025053A"/>
    <w:rsid w:val="00261413"/>
    <w:rsid w:val="002620F6"/>
    <w:rsid w:val="00264453"/>
    <w:rsid w:val="002659BD"/>
    <w:rsid w:val="00266A12"/>
    <w:rsid w:val="0027500B"/>
    <w:rsid w:val="00277138"/>
    <w:rsid w:val="00286BCF"/>
    <w:rsid w:val="00297EE5"/>
    <w:rsid w:val="002A5EF0"/>
    <w:rsid w:val="002B3B20"/>
    <w:rsid w:val="002C3A1B"/>
    <w:rsid w:val="002D15CC"/>
    <w:rsid w:val="002E4831"/>
    <w:rsid w:val="002E5A51"/>
    <w:rsid w:val="002E7ED9"/>
    <w:rsid w:val="002F76DD"/>
    <w:rsid w:val="00300507"/>
    <w:rsid w:val="00301E76"/>
    <w:rsid w:val="003027FD"/>
    <w:rsid w:val="003058F3"/>
    <w:rsid w:val="00310BE3"/>
    <w:rsid w:val="00312730"/>
    <w:rsid w:val="00312A12"/>
    <w:rsid w:val="003149DF"/>
    <w:rsid w:val="00317E68"/>
    <w:rsid w:val="00334F25"/>
    <w:rsid w:val="00354B34"/>
    <w:rsid w:val="003570AD"/>
    <w:rsid w:val="0036550C"/>
    <w:rsid w:val="00370084"/>
    <w:rsid w:val="0039401B"/>
    <w:rsid w:val="00394087"/>
    <w:rsid w:val="00394181"/>
    <w:rsid w:val="003A691A"/>
    <w:rsid w:val="003B117B"/>
    <w:rsid w:val="003B23C2"/>
    <w:rsid w:val="003B4B8D"/>
    <w:rsid w:val="003B5FE1"/>
    <w:rsid w:val="003B64FA"/>
    <w:rsid w:val="003C6166"/>
    <w:rsid w:val="003C61A4"/>
    <w:rsid w:val="003D0959"/>
    <w:rsid w:val="003D2467"/>
    <w:rsid w:val="003D638A"/>
    <w:rsid w:val="003E0412"/>
    <w:rsid w:val="003E26EF"/>
    <w:rsid w:val="003F3398"/>
    <w:rsid w:val="00425C94"/>
    <w:rsid w:val="00430D47"/>
    <w:rsid w:val="004317B7"/>
    <w:rsid w:val="004430DA"/>
    <w:rsid w:val="00445209"/>
    <w:rsid w:val="0045061C"/>
    <w:rsid w:val="00457ED6"/>
    <w:rsid w:val="00460BB3"/>
    <w:rsid w:val="00466AB0"/>
    <w:rsid w:val="00482885"/>
    <w:rsid w:val="00485A04"/>
    <w:rsid w:val="00485E2C"/>
    <w:rsid w:val="00490882"/>
    <w:rsid w:val="004923CC"/>
    <w:rsid w:val="004932C3"/>
    <w:rsid w:val="00496593"/>
    <w:rsid w:val="0049672A"/>
    <w:rsid w:val="004A10F6"/>
    <w:rsid w:val="004A206B"/>
    <w:rsid w:val="004B079C"/>
    <w:rsid w:val="004B1B13"/>
    <w:rsid w:val="004B7495"/>
    <w:rsid w:val="004C595F"/>
    <w:rsid w:val="004D1385"/>
    <w:rsid w:val="004D6156"/>
    <w:rsid w:val="004D6749"/>
    <w:rsid w:val="004D7B27"/>
    <w:rsid w:val="004E3256"/>
    <w:rsid w:val="004E3776"/>
    <w:rsid w:val="004E52B0"/>
    <w:rsid w:val="004F29A0"/>
    <w:rsid w:val="0050654C"/>
    <w:rsid w:val="005065AF"/>
    <w:rsid w:val="0053050A"/>
    <w:rsid w:val="00530A20"/>
    <w:rsid w:val="0053181C"/>
    <w:rsid w:val="00537977"/>
    <w:rsid w:val="005441CA"/>
    <w:rsid w:val="00554C0C"/>
    <w:rsid w:val="00555A6F"/>
    <w:rsid w:val="00557052"/>
    <w:rsid w:val="00565400"/>
    <w:rsid w:val="00567F8C"/>
    <w:rsid w:val="00573912"/>
    <w:rsid w:val="005772BE"/>
    <w:rsid w:val="00584144"/>
    <w:rsid w:val="005843CA"/>
    <w:rsid w:val="00585CCC"/>
    <w:rsid w:val="00596352"/>
    <w:rsid w:val="005A2756"/>
    <w:rsid w:val="005B1786"/>
    <w:rsid w:val="005B5D96"/>
    <w:rsid w:val="005C5428"/>
    <w:rsid w:val="005C6123"/>
    <w:rsid w:val="005C775A"/>
    <w:rsid w:val="005D3016"/>
    <w:rsid w:val="005E0DF0"/>
    <w:rsid w:val="005E1131"/>
    <w:rsid w:val="005E31F4"/>
    <w:rsid w:val="005E422D"/>
    <w:rsid w:val="005E6430"/>
    <w:rsid w:val="005F04BE"/>
    <w:rsid w:val="00602B08"/>
    <w:rsid w:val="00621E0A"/>
    <w:rsid w:val="00623CA6"/>
    <w:rsid w:val="00627294"/>
    <w:rsid w:val="00631B63"/>
    <w:rsid w:val="006372CE"/>
    <w:rsid w:val="00641A0B"/>
    <w:rsid w:val="00643F65"/>
    <w:rsid w:val="006452AE"/>
    <w:rsid w:val="00663269"/>
    <w:rsid w:val="00683164"/>
    <w:rsid w:val="006928B5"/>
    <w:rsid w:val="00693EA1"/>
    <w:rsid w:val="00694C28"/>
    <w:rsid w:val="00696A12"/>
    <w:rsid w:val="006A43E7"/>
    <w:rsid w:val="006B1FEA"/>
    <w:rsid w:val="006B4858"/>
    <w:rsid w:val="006B6B33"/>
    <w:rsid w:val="006C49E2"/>
    <w:rsid w:val="006C531A"/>
    <w:rsid w:val="006D21DC"/>
    <w:rsid w:val="006D2860"/>
    <w:rsid w:val="006D2ADE"/>
    <w:rsid w:val="006D563E"/>
    <w:rsid w:val="006E3B26"/>
    <w:rsid w:val="006E479D"/>
    <w:rsid w:val="006F3B6F"/>
    <w:rsid w:val="006F7DB6"/>
    <w:rsid w:val="00703AE1"/>
    <w:rsid w:val="007073A2"/>
    <w:rsid w:val="00712344"/>
    <w:rsid w:val="00722B2A"/>
    <w:rsid w:val="0074685F"/>
    <w:rsid w:val="00751197"/>
    <w:rsid w:val="00753E89"/>
    <w:rsid w:val="007630E8"/>
    <w:rsid w:val="0076428F"/>
    <w:rsid w:val="00764DDD"/>
    <w:rsid w:val="007801B8"/>
    <w:rsid w:val="00781311"/>
    <w:rsid w:val="00794624"/>
    <w:rsid w:val="00795FE1"/>
    <w:rsid w:val="007A029E"/>
    <w:rsid w:val="007A2ABD"/>
    <w:rsid w:val="007B2E55"/>
    <w:rsid w:val="007B3674"/>
    <w:rsid w:val="007C2360"/>
    <w:rsid w:val="007D25F3"/>
    <w:rsid w:val="007D2801"/>
    <w:rsid w:val="007E1C08"/>
    <w:rsid w:val="007E2368"/>
    <w:rsid w:val="007E6F0F"/>
    <w:rsid w:val="007F22D6"/>
    <w:rsid w:val="007F563B"/>
    <w:rsid w:val="00803AF9"/>
    <w:rsid w:val="00807990"/>
    <w:rsid w:val="00815DEA"/>
    <w:rsid w:val="0084654D"/>
    <w:rsid w:val="008470DF"/>
    <w:rsid w:val="00853A1A"/>
    <w:rsid w:val="00857658"/>
    <w:rsid w:val="008617E5"/>
    <w:rsid w:val="0087025D"/>
    <w:rsid w:val="00870958"/>
    <w:rsid w:val="00874AE2"/>
    <w:rsid w:val="008764BC"/>
    <w:rsid w:val="00886BFC"/>
    <w:rsid w:val="00891B26"/>
    <w:rsid w:val="008A3369"/>
    <w:rsid w:val="008A75DD"/>
    <w:rsid w:val="008B26B2"/>
    <w:rsid w:val="008B674D"/>
    <w:rsid w:val="008C640B"/>
    <w:rsid w:val="008D5778"/>
    <w:rsid w:val="008E7830"/>
    <w:rsid w:val="008F08FA"/>
    <w:rsid w:val="008F14A3"/>
    <w:rsid w:val="008F3D43"/>
    <w:rsid w:val="008F586B"/>
    <w:rsid w:val="00900DE1"/>
    <w:rsid w:val="00903ADD"/>
    <w:rsid w:val="0092218B"/>
    <w:rsid w:val="00923666"/>
    <w:rsid w:val="00926A88"/>
    <w:rsid w:val="0093033D"/>
    <w:rsid w:val="00931834"/>
    <w:rsid w:val="00937F6D"/>
    <w:rsid w:val="009419AD"/>
    <w:rsid w:val="00943089"/>
    <w:rsid w:val="00946129"/>
    <w:rsid w:val="009517F3"/>
    <w:rsid w:val="00952073"/>
    <w:rsid w:val="00964D7A"/>
    <w:rsid w:val="00966EA8"/>
    <w:rsid w:val="00985EDB"/>
    <w:rsid w:val="0098753B"/>
    <w:rsid w:val="009903BE"/>
    <w:rsid w:val="00993F27"/>
    <w:rsid w:val="00994C36"/>
    <w:rsid w:val="00995424"/>
    <w:rsid w:val="009B41A8"/>
    <w:rsid w:val="009E0364"/>
    <w:rsid w:val="009F01C5"/>
    <w:rsid w:val="009F3BA9"/>
    <w:rsid w:val="009F5502"/>
    <w:rsid w:val="00A04E5C"/>
    <w:rsid w:val="00A06045"/>
    <w:rsid w:val="00A062A5"/>
    <w:rsid w:val="00A065B3"/>
    <w:rsid w:val="00A07FAF"/>
    <w:rsid w:val="00A111DB"/>
    <w:rsid w:val="00A13E44"/>
    <w:rsid w:val="00A200BD"/>
    <w:rsid w:val="00A32870"/>
    <w:rsid w:val="00A405D3"/>
    <w:rsid w:val="00A41840"/>
    <w:rsid w:val="00A4369A"/>
    <w:rsid w:val="00A4494A"/>
    <w:rsid w:val="00A50644"/>
    <w:rsid w:val="00A54D6B"/>
    <w:rsid w:val="00A669B5"/>
    <w:rsid w:val="00A71FAD"/>
    <w:rsid w:val="00A732B5"/>
    <w:rsid w:val="00A738F6"/>
    <w:rsid w:val="00A77699"/>
    <w:rsid w:val="00A77958"/>
    <w:rsid w:val="00A81AF5"/>
    <w:rsid w:val="00A83524"/>
    <w:rsid w:val="00A928FE"/>
    <w:rsid w:val="00A9522D"/>
    <w:rsid w:val="00AA472A"/>
    <w:rsid w:val="00AA5E33"/>
    <w:rsid w:val="00AB1860"/>
    <w:rsid w:val="00AC468A"/>
    <w:rsid w:val="00AC5425"/>
    <w:rsid w:val="00AD660F"/>
    <w:rsid w:val="00AF12F1"/>
    <w:rsid w:val="00B001B9"/>
    <w:rsid w:val="00B01424"/>
    <w:rsid w:val="00B07DED"/>
    <w:rsid w:val="00B12C3C"/>
    <w:rsid w:val="00B1404E"/>
    <w:rsid w:val="00B142EB"/>
    <w:rsid w:val="00B15CC0"/>
    <w:rsid w:val="00B22ABD"/>
    <w:rsid w:val="00B31ACC"/>
    <w:rsid w:val="00B3467B"/>
    <w:rsid w:val="00B41FAC"/>
    <w:rsid w:val="00B43337"/>
    <w:rsid w:val="00B51284"/>
    <w:rsid w:val="00B61A91"/>
    <w:rsid w:val="00B7084F"/>
    <w:rsid w:val="00B736F4"/>
    <w:rsid w:val="00B769BC"/>
    <w:rsid w:val="00B83EC0"/>
    <w:rsid w:val="00B92154"/>
    <w:rsid w:val="00BA23B8"/>
    <w:rsid w:val="00BB386A"/>
    <w:rsid w:val="00BC2E16"/>
    <w:rsid w:val="00BC48BF"/>
    <w:rsid w:val="00BC7B87"/>
    <w:rsid w:val="00BD16C4"/>
    <w:rsid w:val="00BD34DD"/>
    <w:rsid w:val="00BE0B8E"/>
    <w:rsid w:val="00BE76A8"/>
    <w:rsid w:val="00BF3F92"/>
    <w:rsid w:val="00BF6B8F"/>
    <w:rsid w:val="00C03038"/>
    <w:rsid w:val="00C054F4"/>
    <w:rsid w:val="00C055E9"/>
    <w:rsid w:val="00C20970"/>
    <w:rsid w:val="00C236AE"/>
    <w:rsid w:val="00C3067D"/>
    <w:rsid w:val="00C30F1B"/>
    <w:rsid w:val="00C3279C"/>
    <w:rsid w:val="00C37308"/>
    <w:rsid w:val="00C433C7"/>
    <w:rsid w:val="00C61DEE"/>
    <w:rsid w:val="00C67992"/>
    <w:rsid w:val="00C92AF4"/>
    <w:rsid w:val="00CA50BE"/>
    <w:rsid w:val="00CC47D3"/>
    <w:rsid w:val="00CD5673"/>
    <w:rsid w:val="00CE10EB"/>
    <w:rsid w:val="00CE219D"/>
    <w:rsid w:val="00CE3F5B"/>
    <w:rsid w:val="00CE4116"/>
    <w:rsid w:val="00CE43E5"/>
    <w:rsid w:val="00CE4FB7"/>
    <w:rsid w:val="00CF0F64"/>
    <w:rsid w:val="00CF319D"/>
    <w:rsid w:val="00D0175A"/>
    <w:rsid w:val="00D06922"/>
    <w:rsid w:val="00D26362"/>
    <w:rsid w:val="00D27C20"/>
    <w:rsid w:val="00D370A4"/>
    <w:rsid w:val="00D522B4"/>
    <w:rsid w:val="00D831BC"/>
    <w:rsid w:val="00D85811"/>
    <w:rsid w:val="00D86C09"/>
    <w:rsid w:val="00D876DF"/>
    <w:rsid w:val="00D9073C"/>
    <w:rsid w:val="00D97652"/>
    <w:rsid w:val="00DA2D53"/>
    <w:rsid w:val="00DB3FF8"/>
    <w:rsid w:val="00DC0B3A"/>
    <w:rsid w:val="00DD076A"/>
    <w:rsid w:val="00DD59FE"/>
    <w:rsid w:val="00DE4E79"/>
    <w:rsid w:val="00DE57B1"/>
    <w:rsid w:val="00DF4066"/>
    <w:rsid w:val="00DF6A24"/>
    <w:rsid w:val="00E00486"/>
    <w:rsid w:val="00E02D63"/>
    <w:rsid w:val="00E04DAA"/>
    <w:rsid w:val="00E1073C"/>
    <w:rsid w:val="00E121AF"/>
    <w:rsid w:val="00E14301"/>
    <w:rsid w:val="00E15738"/>
    <w:rsid w:val="00E17915"/>
    <w:rsid w:val="00E2163E"/>
    <w:rsid w:val="00E2513F"/>
    <w:rsid w:val="00E30EFE"/>
    <w:rsid w:val="00E5443B"/>
    <w:rsid w:val="00E60840"/>
    <w:rsid w:val="00E73454"/>
    <w:rsid w:val="00E765F6"/>
    <w:rsid w:val="00E91386"/>
    <w:rsid w:val="00EA055B"/>
    <w:rsid w:val="00EA39D5"/>
    <w:rsid w:val="00EA4CA0"/>
    <w:rsid w:val="00EB5365"/>
    <w:rsid w:val="00EB5D4E"/>
    <w:rsid w:val="00EC1BD1"/>
    <w:rsid w:val="00EC7684"/>
    <w:rsid w:val="00ED12CB"/>
    <w:rsid w:val="00ED209A"/>
    <w:rsid w:val="00ED3CF7"/>
    <w:rsid w:val="00ED7DFB"/>
    <w:rsid w:val="00EE3668"/>
    <w:rsid w:val="00EE7571"/>
    <w:rsid w:val="00EE7AD7"/>
    <w:rsid w:val="00F0172B"/>
    <w:rsid w:val="00F03D3B"/>
    <w:rsid w:val="00F04AD0"/>
    <w:rsid w:val="00F206B5"/>
    <w:rsid w:val="00F209C1"/>
    <w:rsid w:val="00F40A22"/>
    <w:rsid w:val="00F4691A"/>
    <w:rsid w:val="00F53761"/>
    <w:rsid w:val="00F53B9A"/>
    <w:rsid w:val="00F61694"/>
    <w:rsid w:val="00F63D67"/>
    <w:rsid w:val="00F67D5D"/>
    <w:rsid w:val="00F71B01"/>
    <w:rsid w:val="00F720E4"/>
    <w:rsid w:val="00F768B0"/>
    <w:rsid w:val="00F81A56"/>
    <w:rsid w:val="00F85982"/>
    <w:rsid w:val="00F86B71"/>
    <w:rsid w:val="00F91D2F"/>
    <w:rsid w:val="00FA37DA"/>
    <w:rsid w:val="00FB0D03"/>
    <w:rsid w:val="00FB15CA"/>
    <w:rsid w:val="00FB28C5"/>
    <w:rsid w:val="00FB5F17"/>
    <w:rsid w:val="00FC4E15"/>
    <w:rsid w:val="00FC4F1C"/>
    <w:rsid w:val="00FC6D87"/>
    <w:rsid w:val="00FD1614"/>
    <w:rsid w:val="00FD46ED"/>
    <w:rsid w:val="00FE269A"/>
    <w:rsid w:val="00FF2E8D"/>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21819"/>
  <w15:chartTrackingRefBased/>
  <w15:docId w15:val="{6F883A68-BB0E-4E75-BFD5-70B138B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sz w:val="24"/>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E5"/>
    <w:pPr>
      <w:tabs>
        <w:tab w:val="center" w:pos="4680"/>
        <w:tab w:val="right" w:pos="9360"/>
      </w:tabs>
      <w:spacing w:line="240" w:lineRule="auto"/>
    </w:pPr>
  </w:style>
  <w:style w:type="character" w:customStyle="1" w:styleId="HeaderChar">
    <w:name w:val="Header Char"/>
    <w:basedOn w:val="DefaultParagraphFont"/>
    <w:link w:val="Header"/>
    <w:uiPriority w:val="99"/>
    <w:rsid w:val="008617E5"/>
  </w:style>
  <w:style w:type="paragraph" w:styleId="Footer">
    <w:name w:val="footer"/>
    <w:basedOn w:val="Normal"/>
    <w:link w:val="FooterChar"/>
    <w:uiPriority w:val="99"/>
    <w:unhideWhenUsed/>
    <w:rsid w:val="008617E5"/>
    <w:pPr>
      <w:tabs>
        <w:tab w:val="center" w:pos="4680"/>
        <w:tab w:val="right" w:pos="9360"/>
      </w:tabs>
      <w:spacing w:line="240" w:lineRule="auto"/>
    </w:pPr>
  </w:style>
  <w:style w:type="character" w:customStyle="1" w:styleId="FooterChar">
    <w:name w:val="Footer Char"/>
    <w:basedOn w:val="DefaultParagraphFont"/>
    <w:link w:val="Footer"/>
    <w:uiPriority w:val="99"/>
    <w:rsid w:val="008617E5"/>
  </w:style>
  <w:style w:type="paragraph" w:styleId="ListParagraph">
    <w:name w:val="List Paragraph"/>
    <w:basedOn w:val="Normal"/>
    <w:uiPriority w:val="34"/>
    <w:qFormat/>
    <w:rsid w:val="007630E8"/>
    <w:pPr>
      <w:ind w:left="720"/>
      <w:contextualSpacing/>
    </w:pPr>
  </w:style>
  <w:style w:type="character" w:customStyle="1" w:styleId="apple-converted-space">
    <w:name w:val="apple-converted-space"/>
    <w:basedOn w:val="DefaultParagraphFont"/>
    <w:rsid w:val="00B7084F"/>
  </w:style>
  <w:style w:type="character" w:styleId="Hyperlink">
    <w:name w:val="Hyperlink"/>
    <w:basedOn w:val="DefaultParagraphFont"/>
    <w:uiPriority w:val="99"/>
    <w:unhideWhenUsed/>
    <w:rsid w:val="00B70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13</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John Johnson</cp:lastModifiedBy>
  <cp:revision>248</cp:revision>
  <dcterms:created xsi:type="dcterms:W3CDTF">2015-11-28T19:20:00Z</dcterms:created>
  <dcterms:modified xsi:type="dcterms:W3CDTF">2016-11-19T03:03:00Z</dcterms:modified>
</cp:coreProperties>
</file>